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70" w:rsidRPr="000D2D47" w:rsidRDefault="00C238BB" w:rsidP="00BF5370">
      <w:pPr>
        <w:pStyle w:val="ad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78B" w:rsidRPr="000D2D47" w:rsidRDefault="00C238BB" w:rsidP="00C01EDC">
      <w:pPr>
        <w:rPr>
          <w:rFonts w:ascii="Tahoma" w:hAnsi="Tahoma" w:cs="Tahoma"/>
          <w:b/>
          <w:sz w:val="21"/>
          <w:szCs w:val="21"/>
          <w:lang w:val="uk-UA"/>
        </w:rPr>
      </w:pPr>
      <w:r>
        <w:rPr>
          <w:rFonts w:ascii="Tahoma" w:hAnsi="Tahoma" w:cs="Tahoma"/>
          <w:b/>
          <w:sz w:val="21"/>
          <w:szCs w:val="21"/>
          <w:lang w:val="uk-UA"/>
        </w:rPr>
        <w:t>20</w:t>
      </w:r>
      <w:r w:rsidR="00E64B09"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  <w:r>
        <w:rPr>
          <w:rFonts w:ascii="Tahoma" w:hAnsi="Tahoma" w:cs="Tahoma"/>
          <w:b/>
          <w:sz w:val="21"/>
          <w:szCs w:val="21"/>
          <w:lang w:val="uk-UA"/>
        </w:rPr>
        <w:t>жовтня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 xml:space="preserve"> 201</w:t>
      </w:r>
      <w:r w:rsidR="00AA6E5E">
        <w:rPr>
          <w:rFonts w:ascii="Tahoma" w:hAnsi="Tahoma" w:cs="Tahoma"/>
          <w:b/>
          <w:sz w:val="21"/>
          <w:szCs w:val="21"/>
          <w:lang w:val="uk-UA"/>
        </w:rPr>
        <w:t>6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 xml:space="preserve"> р.</w:t>
      </w:r>
    </w:p>
    <w:p w:rsidR="00473A5E" w:rsidRPr="000D2D47" w:rsidRDefault="00E8478B" w:rsidP="001405E6">
      <w:pPr>
        <w:jc w:val="center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ОГОЛОШЕННЯ</w:t>
      </w:r>
      <w:r w:rsidR="00473A5E"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  <w:r w:rsidR="005C6469" w:rsidRPr="000D2D47">
        <w:rPr>
          <w:rFonts w:ascii="Tahoma" w:hAnsi="Tahoma" w:cs="Tahoma"/>
          <w:b/>
          <w:sz w:val="21"/>
          <w:szCs w:val="21"/>
          <w:lang w:val="uk-UA"/>
        </w:rPr>
        <w:t xml:space="preserve">№  </w:t>
      </w:r>
      <w:r w:rsidR="00313BAD">
        <w:rPr>
          <w:rFonts w:ascii="Tahoma" w:hAnsi="Tahoma" w:cs="Tahoma"/>
          <w:b/>
          <w:sz w:val="21"/>
          <w:szCs w:val="21"/>
          <w:lang w:val="uk-UA"/>
        </w:rPr>
        <w:t>40</w:t>
      </w:r>
      <w:r w:rsidR="00E64B09" w:rsidRPr="000D2D47">
        <w:rPr>
          <w:rFonts w:ascii="Tahoma" w:hAnsi="Tahoma" w:cs="Tahoma"/>
          <w:b/>
          <w:sz w:val="21"/>
          <w:szCs w:val="21"/>
          <w:lang w:val="uk-UA"/>
        </w:rPr>
        <w:t>-ЗП</w:t>
      </w:r>
    </w:p>
    <w:p w:rsidR="00E8478B" w:rsidRPr="000D2D47" w:rsidRDefault="00E8478B" w:rsidP="001405E6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:rsidR="00E8478B" w:rsidRPr="000D2D47" w:rsidRDefault="00E8478B" w:rsidP="001405E6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(д</w:t>
      </w:r>
      <w:r w:rsidR="001405E6" w:rsidRPr="000D2D47">
        <w:rPr>
          <w:rFonts w:ascii="Tahoma" w:hAnsi="Tahoma" w:cs="Tahoma"/>
          <w:sz w:val="21"/>
          <w:szCs w:val="21"/>
          <w:lang w:val="uk-UA"/>
        </w:rPr>
        <w:t>алі – «</w:t>
      </w:r>
      <w:r w:rsidRPr="000D2D47">
        <w:rPr>
          <w:rFonts w:ascii="Tahoma" w:hAnsi="Tahoma" w:cs="Tahoma"/>
          <w:sz w:val="21"/>
          <w:szCs w:val="21"/>
          <w:lang w:val="uk-UA"/>
        </w:rPr>
        <w:t>Оголошення</w:t>
      </w:r>
      <w:r w:rsidR="001405E6" w:rsidRPr="000D2D47">
        <w:rPr>
          <w:rFonts w:ascii="Tahoma" w:hAnsi="Tahoma" w:cs="Tahoma"/>
          <w:sz w:val="21"/>
          <w:szCs w:val="21"/>
          <w:lang w:val="uk-UA"/>
        </w:rPr>
        <w:t>»</w:t>
      </w:r>
      <w:r w:rsidRPr="000D2D47">
        <w:rPr>
          <w:rFonts w:ascii="Tahoma" w:hAnsi="Tahoma" w:cs="Tahoma"/>
          <w:sz w:val="21"/>
          <w:szCs w:val="21"/>
          <w:lang w:val="uk-UA"/>
        </w:rPr>
        <w:t>)</w:t>
      </w:r>
    </w:p>
    <w:p w:rsidR="00154E55" w:rsidRPr="000D2D47" w:rsidRDefault="00154E55" w:rsidP="00E8478B">
      <w:pPr>
        <w:rPr>
          <w:rFonts w:ascii="Tahoma" w:hAnsi="Tahoma" w:cs="Tahoma"/>
          <w:b/>
          <w:bCs/>
          <w:color w:val="000000"/>
          <w:spacing w:val="-6"/>
          <w:sz w:val="21"/>
          <w:szCs w:val="21"/>
          <w:lang w:val="uk-UA"/>
        </w:rPr>
      </w:pPr>
    </w:p>
    <w:p w:rsidR="00E8478B" w:rsidRPr="0040076E" w:rsidRDefault="00313BAD" w:rsidP="00D149CD">
      <w:pPr>
        <w:pStyle w:val="a4"/>
        <w:jc w:val="both"/>
        <w:rPr>
          <w:rFonts w:ascii="Tahoma" w:hAnsi="Tahoma" w:cs="Tahoma"/>
          <w:b/>
          <w:sz w:val="22"/>
          <w:szCs w:val="22"/>
          <w:lang w:val="uk-UA"/>
        </w:rPr>
      </w:pPr>
      <w:r w:rsidRPr="0040076E">
        <w:rPr>
          <w:rFonts w:ascii="Tahoma" w:hAnsi="Tahoma" w:cs="Tahoma"/>
          <w:sz w:val="22"/>
          <w:szCs w:val="22"/>
          <w:lang w:val="uk-UA"/>
        </w:rPr>
        <w:t>Б</w:t>
      </w:r>
      <w:r w:rsidR="00E8478B" w:rsidRPr="0040076E">
        <w:rPr>
          <w:rFonts w:ascii="Tahoma" w:hAnsi="Tahoma" w:cs="Tahoma"/>
          <w:sz w:val="22"/>
          <w:szCs w:val="22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E8478B" w:rsidRPr="0040076E">
        <w:rPr>
          <w:rFonts w:ascii="Tahoma" w:hAnsi="Tahoma" w:cs="Tahoma"/>
          <w:b/>
          <w:sz w:val="22"/>
          <w:szCs w:val="22"/>
          <w:lang w:val="uk-UA"/>
        </w:rPr>
        <w:t>«Мережа»</w:t>
      </w:r>
      <w:r w:rsidR="00E8478B" w:rsidRPr="0040076E">
        <w:rPr>
          <w:rFonts w:ascii="Tahoma" w:hAnsi="Tahoma" w:cs="Tahoma"/>
          <w:sz w:val="22"/>
          <w:szCs w:val="22"/>
          <w:lang w:val="uk-UA"/>
        </w:rPr>
        <w:t xml:space="preserve">) оголошує </w:t>
      </w:r>
      <w:r w:rsidRPr="0040076E">
        <w:rPr>
          <w:rFonts w:ascii="Tahoma" w:hAnsi="Tahoma" w:cs="Tahoma"/>
          <w:sz w:val="22"/>
          <w:szCs w:val="22"/>
          <w:lang w:val="uk-UA"/>
        </w:rPr>
        <w:t xml:space="preserve">обмежені </w:t>
      </w:r>
      <w:r w:rsidR="00E8478B" w:rsidRPr="0040076E">
        <w:rPr>
          <w:rFonts w:ascii="Tahoma" w:hAnsi="Tahoma" w:cs="Tahoma"/>
          <w:sz w:val="22"/>
          <w:szCs w:val="22"/>
          <w:lang w:val="uk-UA"/>
        </w:rPr>
        <w:t xml:space="preserve">конкурсні торги на </w:t>
      </w:r>
      <w:r w:rsidR="00604D73" w:rsidRPr="0040076E">
        <w:rPr>
          <w:rFonts w:ascii="Tahoma" w:hAnsi="Tahoma" w:cs="Tahoma"/>
          <w:sz w:val="22"/>
          <w:szCs w:val="22"/>
          <w:lang w:val="uk-UA"/>
        </w:rPr>
        <w:t xml:space="preserve">закупівлю </w:t>
      </w:r>
      <w:r w:rsidRPr="0040076E">
        <w:rPr>
          <w:rFonts w:ascii="Tahoma" w:hAnsi="Tahoma" w:cs="Tahoma"/>
          <w:b/>
          <w:sz w:val="22"/>
          <w:szCs w:val="22"/>
          <w:lang w:val="uk-UA"/>
        </w:rPr>
        <w:t>послуг щодо підготовки та подачі до суду позову від імені БО «Всеукраїнська мережа людей, які живуть з ВІЛ/СНІД»</w:t>
      </w:r>
      <w:r w:rsidR="00E8478B" w:rsidRPr="0040076E">
        <w:rPr>
          <w:rFonts w:ascii="Tahoma" w:hAnsi="Tahoma" w:cs="Tahoma"/>
          <w:b/>
          <w:sz w:val="22"/>
          <w:szCs w:val="22"/>
          <w:lang w:val="uk-UA"/>
        </w:rPr>
        <w:t xml:space="preserve">. </w:t>
      </w:r>
    </w:p>
    <w:p w:rsidR="00D149CD" w:rsidRPr="0040076E" w:rsidRDefault="00604D73" w:rsidP="0096138B">
      <w:pPr>
        <w:jc w:val="both"/>
        <w:rPr>
          <w:rFonts w:ascii="Tahoma" w:hAnsi="Tahoma" w:cs="Tahoma"/>
          <w:sz w:val="22"/>
          <w:szCs w:val="22"/>
          <w:lang w:val="uk-UA"/>
        </w:rPr>
      </w:pPr>
      <w:r w:rsidRPr="0040076E">
        <w:rPr>
          <w:rFonts w:ascii="Tahoma" w:hAnsi="Tahoma" w:cs="Tahoma"/>
          <w:b/>
          <w:bCs/>
          <w:sz w:val="22"/>
          <w:szCs w:val="22"/>
          <w:lang w:val="uk-UA"/>
        </w:rPr>
        <w:t xml:space="preserve">Предмет закупівлі: </w:t>
      </w:r>
      <w:r w:rsidR="00C06CA5">
        <w:rPr>
          <w:rFonts w:ascii="Tahoma" w:hAnsi="Tahoma" w:cs="Tahoma"/>
          <w:sz w:val="22"/>
          <w:szCs w:val="22"/>
          <w:lang w:val="uk-UA"/>
        </w:rPr>
        <w:t>п</w:t>
      </w:r>
      <w:r w:rsidR="0040076E" w:rsidRPr="0040076E">
        <w:rPr>
          <w:rFonts w:ascii="Tahoma" w:hAnsi="Tahoma" w:cs="Tahoma"/>
          <w:sz w:val="22"/>
          <w:szCs w:val="22"/>
          <w:lang w:val="uk-UA"/>
        </w:rPr>
        <w:t>ослуги щодо підготовки та подачі до суду позову від імені БО «Всеукраїнська мережа людей, які живуть з ВІЛ/СНІД» про визнання недійсним патенту, що стосується АРВ препарату та здійснення юридичного супроводу судового провадження за позовом про визнання недійсним патенту, що стосується АРВ препарату (в т.ч. щодо перегляду справи в апеляційному, касаційному порядку за необхідності)</w:t>
      </w:r>
      <w:r w:rsidR="0040076E" w:rsidRPr="0040076E">
        <w:rPr>
          <w:lang w:val="uk-UA"/>
        </w:rPr>
        <w:t xml:space="preserve"> </w:t>
      </w:r>
      <w:r w:rsidR="0040076E" w:rsidRPr="0040076E">
        <w:rPr>
          <w:rFonts w:ascii="Tahoma" w:hAnsi="Tahoma" w:cs="Tahoma"/>
          <w:sz w:val="22"/>
          <w:szCs w:val="22"/>
          <w:lang w:val="uk-UA"/>
        </w:rPr>
        <w:t>(UNITAID)</w:t>
      </w:r>
      <w:r w:rsidR="0096138B" w:rsidRPr="0040076E">
        <w:rPr>
          <w:rFonts w:ascii="Tahoma" w:hAnsi="Tahoma" w:cs="Tahoma"/>
          <w:sz w:val="22"/>
          <w:szCs w:val="22"/>
          <w:lang w:val="uk-UA"/>
        </w:rPr>
        <w:t>.</w:t>
      </w:r>
    </w:p>
    <w:p w:rsidR="00573C58" w:rsidRPr="00A5334E" w:rsidRDefault="00573C58" w:rsidP="00573C58">
      <w:pPr>
        <w:pStyle w:val="3"/>
        <w:keepNext w:val="0"/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Обсяг послуг</w:t>
      </w:r>
      <w:r w:rsidRPr="00A5334E">
        <w:rPr>
          <w:rFonts w:ascii="Tahoma" w:hAnsi="Tahoma" w:cs="Tahoma"/>
          <w:sz w:val="22"/>
          <w:szCs w:val="22"/>
          <w:lang w:val="uk-UA"/>
        </w:rPr>
        <w:t xml:space="preserve"> включає в себе наступні етапи:</w:t>
      </w:r>
    </w:p>
    <w:p w:rsidR="00573C58" w:rsidRPr="008B695F" w:rsidRDefault="00573C58" w:rsidP="00573C58">
      <w:pPr>
        <w:pStyle w:val="3"/>
        <w:keepNext w:val="0"/>
        <w:spacing w:before="0" w:after="0"/>
        <w:jc w:val="both"/>
        <w:rPr>
          <w:rFonts w:ascii="Tahoma" w:hAnsi="Tahoma" w:cs="Tahoma"/>
          <w:b w:val="0"/>
          <w:sz w:val="22"/>
          <w:szCs w:val="22"/>
          <w:lang w:val="uk-UA"/>
        </w:rPr>
      </w:pPr>
      <w:r w:rsidRPr="008B695F">
        <w:rPr>
          <w:rFonts w:ascii="Tahoma" w:hAnsi="Tahoma" w:cs="Tahoma"/>
          <w:b w:val="0"/>
          <w:sz w:val="22"/>
          <w:szCs w:val="22"/>
          <w:lang w:val="uk-UA"/>
        </w:rPr>
        <w:t xml:space="preserve">1. </w:t>
      </w:r>
      <w:r>
        <w:rPr>
          <w:rFonts w:ascii="Tahoma" w:hAnsi="Tahoma" w:cs="Tahoma"/>
          <w:b w:val="0"/>
          <w:sz w:val="22"/>
          <w:szCs w:val="22"/>
          <w:lang w:val="uk-UA"/>
        </w:rPr>
        <w:t>Підготовка та п</w:t>
      </w:r>
      <w:r w:rsidRPr="008B695F">
        <w:rPr>
          <w:rFonts w:ascii="Tahoma" w:hAnsi="Tahoma" w:cs="Tahoma"/>
          <w:b w:val="0"/>
          <w:sz w:val="22"/>
          <w:szCs w:val="22"/>
          <w:lang w:val="uk-UA"/>
        </w:rPr>
        <w:t xml:space="preserve">одача позову про визнання </w:t>
      </w:r>
      <w:r>
        <w:rPr>
          <w:rFonts w:ascii="Tahoma" w:hAnsi="Tahoma" w:cs="Tahoma"/>
          <w:b w:val="0"/>
          <w:sz w:val="22"/>
          <w:szCs w:val="22"/>
          <w:lang w:val="uk-UA"/>
        </w:rPr>
        <w:t>патенту</w:t>
      </w:r>
      <w:r w:rsidRPr="008B695F">
        <w:rPr>
          <w:rFonts w:ascii="Tahoma" w:hAnsi="Tahoma" w:cs="Tahoma"/>
          <w:b w:val="0"/>
          <w:sz w:val="22"/>
          <w:szCs w:val="22"/>
          <w:lang w:val="uk-UA"/>
        </w:rPr>
        <w:t xml:space="preserve"> недій</w:t>
      </w:r>
      <w:r>
        <w:rPr>
          <w:rFonts w:ascii="Tahoma" w:hAnsi="Tahoma" w:cs="Tahoma"/>
          <w:b w:val="0"/>
          <w:sz w:val="22"/>
          <w:szCs w:val="22"/>
          <w:lang w:val="uk-UA"/>
        </w:rPr>
        <w:t>сним;</w:t>
      </w:r>
    </w:p>
    <w:p w:rsidR="00573C58" w:rsidRPr="008B695F" w:rsidRDefault="00573C58" w:rsidP="00573C58">
      <w:pPr>
        <w:pStyle w:val="3"/>
        <w:keepNext w:val="0"/>
        <w:spacing w:before="0" w:after="0"/>
        <w:jc w:val="both"/>
        <w:rPr>
          <w:rFonts w:ascii="Tahoma" w:hAnsi="Tahoma" w:cs="Tahoma"/>
          <w:b w:val="0"/>
          <w:sz w:val="22"/>
          <w:szCs w:val="22"/>
          <w:lang w:val="uk-UA"/>
        </w:rPr>
      </w:pPr>
      <w:r>
        <w:rPr>
          <w:rFonts w:ascii="Tahoma" w:hAnsi="Tahoma" w:cs="Tahoma"/>
          <w:b w:val="0"/>
          <w:sz w:val="22"/>
          <w:szCs w:val="22"/>
          <w:lang w:val="uk-UA"/>
        </w:rPr>
        <w:t>2</w:t>
      </w:r>
      <w:r w:rsidRPr="008B695F">
        <w:rPr>
          <w:rFonts w:ascii="Tahoma" w:hAnsi="Tahoma" w:cs="Tahoma"/>
          <w:b w:val="0"/>
          <w:sz w:val="22"/>
          <w:szCs w:val="22"/>
          <w:lang w:val="uk-UA"/>
        </w:rPr>
        <w:t>. Суп</w:t>
      </w:r>
      <w:r>
        <w:rPr>
          <w:rFonts w:ascii="Tahoma" w:hAnsi="Tahoma" w:cs="Tahoma"/>
          <w:b w:val="0"/>
          <w:sz w:val="22"/>
          <w:szCs w:val="22"/>
          <w:lang w:val="uk-UA"/>
        </w:rPr>
        <w:t>ровід в суді першої інстанції;</w:t>
      </w:r>
    </w:p>
    <w:p w:rsidR="00573C58" w:rsidRPr="008B695F" w:rsidRDefault="00573C58" w:rsidP="00573C58">
      <w:pPr>
        <w:pStyle w:val="3"/>
        <w:keepNext w:val="0"/>
        <w:spacing w:before="0" w:after="0"/>
        <w:jc w:val="both"/>
        <w:rPr>
          <w:rFonts w:ascii="Tahoma" w:hAnsi="Tahoma" w:cs="Tahoma"/>
          <w:b w:val="0"/>
          <w:sz w:val="22"/>
          <w:szCs w:val="22"/>
          <w:lang w:val="uk-UA"/>
        </w:rPr>
      </w:pPr>
      <w:r>
        <w:rPr>
          <w:rFonts w:ascii="Tahoma" w:hAnsi="Tahoma" w:cs="Tahoma"/>
          <w:b w:val="0"/>
          <w:sz w:val="22"/>
          <w:szCs w:val="22"/>
          <w:lang w:val="uk-UA"/>
        </w:rPr>
        <w:t>3</w:t>
      </w:r>
      <w:r w:rsidRPr="008B695F">
        <w:rPr>
          <w:rFonts w:ascii="Tahoma" w:hAnsi="Tahoma" w:cs="Tahoma"/>
          <w:b w:val="0"/>
          <w:sz w:val="22"/>
          <w:szCs w:val="22"/>
          <w:lang w:val="uk-UA"/>
        </w:rPr>
        <w:t>. Супров</w:t>
      </w:r>
      <w:r>
        <w:rPr>
          <w:rFonts w:ascii="Tahoma" w:hAnsi="Tahoma" w:cs="Tahoma"/>
          <w:b w:val="0"/>
          <w:sz w:val="22"/>
          <w:szCs w:val="22"/>
          <w:lang w:val="uk-UA"/>
        </w:rPr>
        <w:t>ід в суді апеляційної інстанції (за необхідності);</w:t>
      </w:r>
    </w:p>
    <w:p w:rsidR="00573C58" w:rsidRPr="008B695F" w:rsidRDefault="00573C58" w:rsidP="00573C58">
      <w:pPr>
        <w:pStyle w:val="3"/>
        <w:keepNext w:val="0"/>
        <w:spacing w:before="0" w:after="0"/>
        <w:jc w:val="both"/>
        <w:rPr>
          <w:rFonts w:ascii="Tahoma" w:hAnsi="Tahoma" w:cs="Tahoma"/>
          <w:b w:val="0"/>
          <w:sz w:val="22"/>
          <w:szCs w:val="22"/>
          <w:lang w:val="uk-UA"/>
        </w:rPr>
      </w:pPr>
      <w:r>
        <w:rPr>
          <w:rFonts w:ascii="Tahoma" w:hAnsi="Tahoma" w:cs="Tahoma"/>
          <w:b w:val="0"/>
          <w:sz w:val="22"/>
          <w:szCs w:val="22"/>
          <w:lang w:val="uk-UA"/>
        </w:rPr>
        <w:t>4</w:t>
      </w:r>
      <w:r w:rsidRPr="008B695F">
        <w:rPr>
          <w:rFonts w:ascii="Tahoma" w:hAnsi="Tahoma" w:cs="Tahoma"/>
          <w:b w:val="0"/>
          <w:sz w:val="22"/>
          <w:szCs w:val="22"/>
          <w:lang w:val="uk-UA"/>
        </w:rPr>
        <w:t>. Супровід в суді касаційної інста</w:t>
      </w:r>
      <w:r>
        <w:rPr>
          <w:rFonts w:ascii="Tahoma" w:hAnsi="Tahoma" w:cs="Tahoma"/>
          <w:b w:val="0"/>
          <w:sz w:val="22"/>
          <w:szCs w:val="22"/>
          <w:lang w:val="uk-UA"/>
        </w:rPr>
        <w:t>нції (за необхідності).</w:t>
      </w:r>
    </w:p>
    <w:p w:rsidR="00573C58" w:rsidRDefault="00573C58" w:rsidP="0040076E">
      <w:pPr>
        <w:pStyle w:val="a4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</w:p>
    <w:p w:rsidR="0040076E" w:rsidRPr="00653567" w:rsidRDefault="0040076E" w:rsidP="0040076E">
      <w:pPr>
        <w:pStyle w:val="a4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  <w:r w:rsidRPr="00653567">
        <w:rPr>
          <w:rFonts w:ascii="Tahoma" w:hAnsi="Tahoma" w:cs="Tahoma"/>
          <w:b/>
          <w:sz w:val="22"/>
          <w:szCs w:val="22"/>
          <w:lang w:val="uk-UA"/>
        </w:rPr>
        <w:t>Термін постачання товарів, виконання робіт та надання послуг</w:t>
      </w:r>
      <w:r>
        <w:rPr>
          <w:rFonts w:ascii="Tahoma" w:hAnsi="Tahoma" w:cs="Tahoma"/>
          <w:b/>
          <w:sz w:val="22"/>
          <w:szCs w:val="22"/>
          <w:lang w:val="uk-UA"/>
        </w:rPr>
        <w:t>:</w:t>
      </w:r>
    </w:p>
    <w:p w:rsidR="0040076E" w:rsidRDefault="0040076E" w:rsidP="0040076E">
      <w:pPr>
        <w:pStyle w:val="a4"/>
        <w:spacing w:before="0" w:beforeAutospacing="0" w:after="0" w:afterAutospacing="0"/>
        <w:rPr>
          <w:rFonts w:ascii="Tahoma" w:hAnsi="Tahoma" w:cs="Tahoma"/>
          <w:bCs/>
          <w:sz w:val="22"/>
          <w:szCs w:val="22"/>
          <w:lang w:val="uk-UA"/>
        </w:rPr>
      </w:pPr>
    </w:p>
    <w:p w:rsidR="0040076E" w:rsidRPr="008A4630" w:rsidRDefault="0040076E" w:rsidP="0040076E">
      <w:pPr>
        <w:pStyle w:val="a4"/>
        <w:spacing w:before="0" w:beforeAutospacing="0" w:after="0" w:afterAutospacing="0"/>
        <w:rPr>
          <w:rFonts w:ascii="Tahoma" w:hAnsi="Tahoma" w:cs="Tahoma"/>
          <w:bCs/>
          <w:sz w:val="22"/>
          <w:szCs w:val="22"/>
          <w:lang w:val="uk-UA"/>
        </w:rPr>
      </w:pPr>
      <w:r w:rsidRPr="008A4630">
        <w:rPr>
          <w:rFonts w:ascii="Tahoma" w:hAnsi="Tahoma" w:cs="Tahoma"/>
          <w:bCs/>
          <w:sz w:val="22"/>
          <w:szCs w:val="22"/>
          <w:lang w:val="uk-UA"/>
        </w:rPr>
        <w:t xml:space="preserve">1. </w:t>
      </w:r>
      <w:r>
        <w:rPr>
          <w:rFonts w:ascii="Tahoma" w:hAnsi="Tahoma" w:cs="Tahoma"/>
          <w:bCs/>
          <w:sz w:val="22"/>
          <w:szCs w:val="22"/>
          <w:lang w:val="uk-UA"/>
        </w:rPr>
        <w:t>П</w:t>
      </w:r>
      <w:r w:rsidRPr="008A4630">
        <w:rPr>
          <w:rFonts w:ascii="Tahoma" w:hAnsi="Tahoma" w:cs="Tahoma"/>
          <w:bCs/>
          <w:sz w:val="22"/>
          <w:szCs w:val="22"/>
          <w:lang w:val="uk-UA"/>
        </w:rPr>
        <w:t xml:space="preserve">ідготовка та подача позову про визнання </w:t>
      </w:r>
      <w:r>
        <w:rPr>
          <w:rFonts w:ascii="Tahoma" w:hAnsi="Tahoma" w:cs="Tahoma"/>
          <w:bCs/>
          <w:sz w:val="22"/>
          <w:szCs w:val="22"/>
          <w:lang w:val="uk-UA"/>
        </w:rPr>
        <w:t>патенту</w:t>
      </w:r>
      <w:r w:rsidRPr="008A4630">
        <w:rPr>
          <w:rFonts w:ascii="Tahoma" w:hAnsi="Tahoma" w:cs="Tahoma"/>
          <w:bCs/>
          <w:sz w:val="22"/>
          <w:szCs w:val="22"/>
          <w:lang w:val="uk-UA"/>
        </w:rPr>
        <w:t xml:space="preserve"> недійсним</w:t>
      </w:r>
      <w:r>
        <w:rPr>
          <w:rFonts w:ascii="Tahoma" w:hAnsi="Tahoma" w:cs="Tahoma"/>
          <w:bCs/>
          <w:sz w:val="22"/>
          <w:szCs w:val="22"/>
          <w:lang w:val="uk-UA"/>
        </w:rPr>
        <w:t xml:space="preserve"> – листопад 2016 р. – січень 2017 р.</w:t>
      </w:r>
      <w:r w:rsidRPr="008A4630">
        <w:rPr>
          <w:rFonts w:ascii="Tahoma" w:hAnsi="Tahoma" w:cs="Tahoma"/>
          <w:bCs/>
          <w:sz w:val="22"/>
          <w:szCs w:val="22"/>
          <w:lang w:val="uk-UA"/>
        </w:rPr>
        <w:t>;</w:t>
      </w:r>
    </w:p>
    <w:p w:rsidR="0040076E" w:rsidRPr="008A4630" w:rsidRDefault="0040076E" w:rsidP="0040076E">
      <w:pPr>
        <w:pStyle w:val="a4"/>
        <w:spacing w:before="0" w:beforeAutospacing="0" w:after="0" w:afterAutospacing="0"/>
        <w:rPr>
          <w:rFonts w:ascii="Tahoma" w:hAnsi="Tahoma" w:cs="Tahoma"/>
          <w:bCs/>
          <w:sz w:val="22"/>
          <w:szCs w:val="22"/>
          <w:lang w:val="uk-UA"/>
        </w:rPr>
      </w:pPr>
      <w:r w:rsidRPr="008A4630">
        <w:rPr>
          <w:rFonts w:ascii="Tahoma" w:hAnsi="Tahoma" w:cs="Tahoma"/>
          <w:bCs/>
          <w:sz w:val="22"/>
          <w:szCs w:val="22"/>
          <w:lang w:val="uk-UA"/>
        </w:rPr>
        <w:t>2. Супровід в суді першої інстанції</w:t>
      </w:r>
      <w:r>
        <w:rPr>
          <w:rFonts w:ascii="Tahoma" w:hAnsi="Tahoma" w:cs="Tahoma"/>
          <w:bCs/>
          <w:sz w:val="22"/>
          <w:szCs w:val="22"/>
          <w:lang w:val="uk-UA"/>
        </w:rPr>
        <w:t xml:space="preserve"> – січень 2017 р. – квітень 2017 р.</w:t>
      </w:r>
      <w:r w:rsidRPr="008A4630">
        <w:rPr>
          <w:rFonts w:ascii="Tahoma" w:hAnsi="Tahoma" w:cs="Tahoma"/>
          <w:bCs/>
          <w:sz w:val="22"/>
          <w:szCs w:val="22"/>
          <w:lang w:val="uk-UA"/>
        </w:rPr>
        <w:t>;</w:t>
      </w:r>
    </w:p>
    <w:p w:rsidR="0040076E" w:rsidRPr="008A4630" w:rsidRDefault="0040076E" w:rsidP="0040076E">
      <w:pPr>
        <w:pStyle w:val="a4"/>
        <w:spacing w:before="0" w:beforeAutospacing="0" w:after="0" w:afterAutospacing="0"/>
        <w:rPr>
          <w:rFonts w:ascii="Tahoma" w:hAnsi="Tahoma" w:cs="Tahoma"/>
          <w:bCs/>
          <w:sz w:val="22"/>
          <w:szCs w:val="22"/>
          <w:lang w:val="uk-UA"/>
        </w:rPr>
      </w:pPr>
      <w:r w:rsidRPr="008A4630">
        <w:rPr>
          <w:rFonts w:ascii="Tahoma" w:hAnsi="Tahoma" w:cs="Tahoma"/>
          <w:bCs/>
          <w:sz w:val="22"/>
          <w:szCs w:val="22"/>
          <w:lang w:val="uk-UA"/>
        </w:rPr>
        <w:t>3. Супровід в суді апеляційної інстанції (за необхідності)</w:t>
      </w:r>
      <w:r>
        <w:rPr>
          <w:rFonts w:ascii="Tahoma" w:hAnsi="Tahoma" w:cs="Tahoma"/>
          <w:bCs/>
          <w:sz w:val="22"/>
          <w:szCs w:val="22"/>
          <w:lang w:val="uk-UA"/>
        </w:rPr>
        <w:t xml:space="preserve"> – квітень 2017 р. – червень 2017 р.</w:t>
      </w:r>
      <w:r w:rsidRPr="008A4630">
        <w:rPr>
          <w:rFonts w:ascii="Tahoma" w:hAnsi="Tahoma" w:cs="Tahoma"/>
          <w:bCs/>
          <w:sz w:val="22"/>
          <w:szCs w:val="22"/>
          <w:lang w:val="uk-UA"/>
        </w:rPr>
        <w:t>;</w:t>
      </w:r>
    </w:p>
    <w:p w:rsidR="0040076E" w:rsidRDefault="0040076E" w:rsidP="0040076E">
      <w:pPr>
        <w:pStyle w:val="a4"/>
        <w:spacing w:before="0" w:beforeAutospacing="0" w:after="0" w:afterAutospacing="0"/>
        <w:rPr>
          <w:rFonts w:ascii="Tahoma" w:hAnsi="Tahoma" w:cs="Tahoma"/>
          <w:b/>
          <w:sz w:val="22"/>
          <w:szCs w:val="22"/>
          <w:lang w:val="uk-UA"/>
        </w:rPr>
      </w:pPr>
      <w:r w:rsidRPr="008A4630">
        <w:rPr>
          <w:rFonts w:ascii="Tahoma" w:hAnsi="Tahoma" w:cs="Tahoma"/>
          <w:bCs/>
          <w:sz w:val="22"/>
          <w:szCs w:val="22"/>
          <w:lang w:val="uk-UA"/>
        </w:rPr>
        <w:t>4. Супровід в суді касаційної інстанції (за необхідності)</w:t>
      </w:r>
      <w:r>
        <w:rPr>
          <w:rFonts w:ascii="Tahoma" w:hAnsi="Tahoma" w:cs="Tahoma"/>
          <w:bCs/>
          <w:sz w:val="22"/>
          <w:szCs w:val="22"/>
          <w:lang w:val="uk-UA"/>
        </w:rPr>
        <w:t xml:space="preserve"> – червень 2017 р</w:t>
      </w:r>
      <w:r w:rsidRPr="008A4630">
        <w:rPr>
          <w:rFonts w:ascii="Tahoma" w:hAnsi="Tahoma" w:cs="Tahoma"/>
          <w:bCs/>
          <w:sz w:val="22"/>
          <w:szCs w:val="22"/>
          <w:lang w:val="uk-UA"/>
        </w:rPr>
        <w:t>.</w:t>
      </w:r>
      <w:r>
        <w:rPr>
          <w:rFonts w:ascii="Tahoma" w:hAnsi="Tahoma" w:cs="Tahoma"/>
          <w:bCs/>
          <w:sz w:val="22"/>
          <w:szCs w:val="22"/>
          <w:lang w:val="uk-UA"/>
        </w:rPr>
        <w:t xml:space="preserve"> – вересень 2017 р.</w:t>
      </w:r>
      <w:r>
        <w:rPr>
          <w:rStyle w:val="af3"/>
          <w:rFonts w:ascii="Tahoma" w:hAnsi="Tahoma" w:cs="Tahoma"/>
          <w:bCs/>
          <w:sz w:val="22"/>
          <w:szCs w:val="22"/>
          <w:lang w:val="uk-UA"/>
        </w:rPr>
        <w:footnoteReference w:id="1"/>
      </w:r>
    </w:p>
    <w:p w:rsidR="0040076E" w:rsidRDefault="00EC3F11" w:rsidP="00EC3F11">
      <w:pPr>
        <w:pStyle w:val="a4"/>
        <w:outlineLvl w:val="0"/>
        <w:rPr>
          <w:rFonts w:ascii="Tahoma" w:hAnsi="Tahoma" w:cs="Tahoma"/>
          <w:color w:val="000000"/>
          <w:sz w:val="22"/>
          <w:szCs w:val="22"/>
          <w:lang w:val="uk-UA"/>
        </w:rPr>
      </w:pPr>
      <w:r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Умови</w:t>
      </w:r>
      <w:r w:rsidRPr="00D936A5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 здійснення оплати </w:t>
      </w:r>
    </w:p>
    <w:p w:rsidR="00EC3F11" w:rsidRPr="00D936A5" w:rsidRDefault="00EC3F11" w:rsidP="00EC3F11">
      <w:pPr>
        <w:pStyle w:val="a4"/>
        <w:outlineLvl w:val="0"/>
        <w:rPr>
          <w:rFonts w:ascii="Tahoma" w:hAnsi="Tahoma" w:cs="Tahoma"/>
          <w:color w:val="000000"/>
          <w:sz w:val="22"/>
          <w:szCs w:val="22"/>
          <w:lang w:val="uk-UA"/>
        </w:rPr>
      </w:pPr>
      <w:r w:rsidRPr="00BA02A8">
        <w:rPr>
          <w:rFonts w:ascii="Tahoma" w:hAnsi="Tahoma" w:cs="Tahoma"/>
          <w:color w:val="000000"/>
          <w:sz w:val="22"/>
          <w:szCs w:val="22"/>
          <w:lang w:val="uk-UA"/>
        </w:rPr>
        <w:t xml:space="preserve">Оплата послуг, зазначених </w:t>
      </w:r>
      <w:r w:rsidR="00BA02A8">
        <w:rPr>
          <w:rFonts w:ascii="Tahoma" w:hAnsi="Tahoma" w:cs="Tahoma"/>
          <w:color w:val="000000"/>
          <w:sz w:val="22"/>
          <w:szCs w:val="22"/>
          <w:lang w:val="uk-UA"/>
        </w:rPr>
        <w:t>в оголошенні</w:t>
      </w:r>
      <w:r w:rsidRPr="00BA02A8">
        <w:rPr>
          <w:rFonts w:ascii="Tahoma" w:hAnsi="Tahoma" w:cs="Tahoma"/>
          <w:color w:val="000000"/>
          <w:sz w:val="22"/>
          <w:szCs w:val="22"/>
          <w:lang w:val="uk-UA"/>
        </w:rPr>
        <w:t>, здійснюється після надання послуг у повному обсязі та підписання Акта про надання послуг. В</w:t>
      </w:r>
      <w:r w:rsidRPr="00BA02A8">
        <w:rPr>
          <w:rFonts w:ascii="Tahoma" w:hAnsi="Tahoma" w:cs="Tahoma"/>
          <w:sz w:val="22"/>
          <w:szCs w:val="22"/>
          <w:lang w:val="uk-UA"/>
        </w:rPr>
        <w:t>сі витрати, пов’язані із наданням послуг виконавцем даного технічного завдання, надавач послуг здійснює за власний рахунок.</w:t>
      </w:r>
      <w:r w:rsidRPr="00D936A5">
        <w:rPr>
          <w:rFonts w:ascii="Tahoma" w:hAnsi="Tahoma" w:cs="Tahoma"/>
          <w:sz w:val="22"/>
          <w:szCs w:val="22"/>
          <w:lang w:val="uk-UA"/>
        </w:rPr>
        <w:t xml:space="preserve"> </w:t>
      </w:r>
    </w:p>
    <w:p w:rsidR="00EC3F11" w:rsidRPr="000D2D47" w:rsidRDefault="00EC3F11" w:rsidP="00D149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1"/>
          <w:szCs w:val="21"/>
          <w:lang w:val="uk-UA"/>
        </w:rPr>
      </w:pPr>
    </w:p>
    <w:p w:rsidR="00154E55" w:rsidRPr="0096138B" w:rsidRDefault="00473A5E" w:rsidP="0096138B">
      <w:pPr>
        <w:pStyle w:val="a4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0D2D47">
        <w:rPr>
          <w:rFonts w:ascii="Tahoma" w:hAnsi="Tahoma" w:cs="Tahoma"/>
          <w:b/>
          <w:bCs/>
          <w:sz w:val="21"/>
          <w:szCs w:val="21"/>
          <w:lang w:val="uk-UA"/>
        </w:rPr>
        <w:t>Очікуваний результат робіт та послуг</w:t>
      </w:r>
      <w:r w:rsidR="005C6469" w:rsidRPr="000D2D47">
        <w:rPr>
          <w:rFonts w:ascii="Tahoma" w:hAnsi="Tahoma" w:cs="Tahoma"/>
          <w:b/>
          <w:bCs/>
          <w:sz w:val="21"/>
          <w:szCs w:val="21"/>
          <w:lang w:val="uk-UA"/>
        </w:rPr>
        <w:t>:</w:t>
      </w:r>
      <w:r w:rsidR="00D149CD" w:rsidRPr="000D2D47">
        <w:rPr>
          <w:rFonts w:ascii="Tahoma" w:hAnsi="Tahoma" w:cs="Tahoma"/>
          <w:b/>
          <w:bCs/>
          <w:sz w:val="21"/>
          <w:szCs w:val="21"/>
          <w:lang w:val="uk-UA"/>
        </w:rPr>
        <w:t xml:space="preserve"> </w:t>
      </w:r>
      <w:r w:rsidR="0040076E" w:rsidRPr="0040076E">
        <w:rPr>
          <w:rFonts w:ascii="Tahoma" w:hAnsi="Tahoma" w:cs="Tahoma"/>
          <w:sz w:val="22"/>
          <w:szCs w:val="22"/>
          <w:lang w:val="uk-UA"/>
        </w:rPr>
        <w:t xml:space="preserve">Успішне проведення даних заходів сприятиме зменшенню цін на </w:t>
      </w:r>
      <w:proofErr w:type="spellStart"/>
      <w:r w:rsidR="0040076E" w:rsidRPr="0040076E">
        <w:rPr>
          <w:rFonts w:ascii="Tahoma" w:hAnsi="Tahoma" w:cs="Tahoma"/>
          <w:sz w:val="22"/>
          <w:szCs w:val="22"/>
          <w:lang w:val="uk-UA"/>
        </w:rPr>
        <w:t>АРВ-препарати</w:t>
      </w:r>
      <w:proofErr w:type="spellEnd"/>
      <w:r w:rsidR="0040076E" w:rsidRPr="0040076E">
        <w:rPr>
          <w:rFonts w:ascii="Tahoma" w:hAnsi="Tahoma" w:cs="Tahoma"/>
          <w:sz w:val="22"/>
          <w:szCs w:val="22"/>
          <w:lang w:val="uk-UA"/>
        </w:rPr>
        <w:t>, що розширить доступ до лікування людей, які живуть з ВІЛ в Україні.</w:t>
      </w:r>
    </w:p>
    <w:p w:rsidR="00826E5A" w:rsidRPr="000D2D47" w:rsidRDefault="00826E5A" w:rsidP="00D149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1"/>
          <w:szCs w:val="21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96138B" w:rsidRPr="00BA02A8" w:rsidTr="0090777E">
        <w:tc>
          <w:tcPr>
            <w:tcW w:w="4395" w:type="dxa"/>
            <w:shd w:val="pct20" w:color="auto" w:fill="auto"/>
          </w:tcPr>
          <w:p w:rsidR="0096138B" w:rsidRPr="007D5789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кваліфікаційні вимоги до постачальника товарів або виконавця робіт та послуг</w:t>
            </w:r>
            <w:r w:rsidRPr="007D5789">
              <w:rPr>
                <w:rStyle w:val="a8"/>
                <w:rFonts w:ascii="Tahoma" w:hAnsi="Tahoma" w:cs="Tahoma"/>
                <w:b/>
                <w:sz w:val="22"/>
                <w:szCs w:val="22"/>
                <w:lang w:val="uk-UA"/>
              </w:rPr>
              <w:endnoteReference w:id="1"/>
            </w: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961" w:type="dxa"/>
            <w:shd w:val="pct20" w:color="auto" w:fill="auto"/>
          </w:tcPr>
          <w:p w:rsidR="0096138B" w:rsidRPr="007D5789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40076E" w:rsidRPr="00BA02A8" w:rsidTr="0090777E">
        <w:tc>
          <w:tcPr>
            <w:tcW w:w="4395" w:type="dxa"/>
            <w:shd w:val="clear" w:color="auto" w:fill="FFFFFF"/>
          </w:tcPr>
          <w:p w:rsidR="0040076E" w:rsidRPr="0018161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Наявність досвіду ведення судових справ щодо визнання недійсними патентів на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винаходи, що стосуються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лікарськ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их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засоб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ів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, та/або щодо захисту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патентних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прав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, що стосуються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 лікарськ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их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засоб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ів, та/або щодо захисту прав та інтересів осіб проти яких були подані вищезазначені позови </w:t>
            </w:r>
          </w:p>
        </w:tc>
        <w:tc>
          <w:tcPr>
            <w:tcW w:w="4961" w:type="dxa"/>
            <w:shd w:val="clear" w:color="auto" w:fill="auto"/>
          </w:tcPr>
          <w:p w:rsidR="0040076E" w:rsidRPr="00181615" w:rsidRDefault="0040076E" w:rsidP="004A06CF">
            <w:pPr>
              <w:pStyle w:val="a4"/>
              <w:spacing w:before="0" w:beforeAutospacing="0" w:after="0" w:afterAutospacing="0"/>
              <w:ind w:left="34"/>
              <w:jc w:val="both"/>
              <w:rPr>
                <w:rFonts w:ascii="Tahoma" w:hAnsi="Tahoma" w:cs="Tahoma"/>
                <w:sz w:val="22"/>
                <w:szCs w:val="22"/>
                <w:highlight w:val="yellow"/>
                <w:lang w:val="uk-UA"/>
              </w:rPr>
            </w:pPr>
            <w:r w:rsidRPr="000551C4">
              <w:rPr>
                <w:rFonts w:ascii="Tahoma" w:hAnsi="Tahoma" w:cs="Tahoma"/>
                <w:sz w:val="22"/>
                <w:szCs w:val="22"/>
                <w:lang w:val="uk-UA"/>
              </w:rPr>
              <w:t xml:space="preserve">Інформаційна довідка з переліком успішних судових справ </w:t>
            </w:r>
            <w:r w:rsidRPr="00D30DAC">
              <w:rPr>
                <w:rFonts w:ascii="Tahoma" w:hAnsi="Tahoma" w:cs="Tahoma"/>
                <w:sz w:val="22"/>
                <w:szCs w:val="22"/>
                <w:lang w:val="uk-UA"/>
              </w:rPr>
              <w:t xml:space="preserve">щодо визнання недійсними патентів на винаходи, що стосуються лікарських засобів, та/або щодо захисту патентних прав, що стосуються  лікарських засобів, та/або щодо захисту прав та інтересів осіб проти яких були подані вищезазначені позови </w:t>
            </w:r>
            <w:r w:rsidRPr="00AD65DE">
              <w:rPr>
                <w:rFonts w:ascii="Tahoma" w:hAnsi="Tahoma" w:cs="Tahoma"/>
                <w:sz w:val="22"/>
                <w:szCs w:val="22"/>
                <w:lang w:val="uk-UA"/>
              </w:rPr>
              <w:t>(з обов’язковим посиланням на Єдиний державний реєстр судових рішень)</w:t>
            </w:r>
          </w:p>
        </w:tc>
      </w:tr>
      <w:tr w:rsidR="0040076E" w:rsidRPr="008C0827" w:rsidTr="0090777E">
        <w:tc>
          <w:tcPr>
            <w:tcW w:w="4395" w:type="dxa"/>
            <w:shd w:val="clear" w:color="auto" w:fill="auto"/>
          </w:tcPr>
          <w:p w:rsidR="0040076E" w:rsidRPr="00C739E2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Наявність кваліфікованих юристів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, яких постачальник послуг може залучити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для підготовки та подачі до суду позову від імені БО «Всеукраїнська мережа людей, які живуть з ВІЛ/СНІД» про визнання недійсними </w:t>
            </w:r>
            <w:proofErr w:type="spellStart"/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​​патенту</w:t>
            </w:r>
            <w:proofErr w:type="spellEnd"/>
            <w:r>
              <w:rPr>
                <w:rFonts w:ascii="Tahoma" w:hAnsi="Tahoma" w:cs="Tahoma"/>
                <w:sz w:val="22"/>
                <w:szCs w:val="22"/>
                <w:lang w:val="uk-UA"/>
              </w:rPr>
              <w:t>, що стосується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 АРВ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препарат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та здійснення юридичного супроводу судового провадження за позовом</w:t>
            </w:r>
          </w:p>
        </w:tc>
        <w:tc>
          <w:tcPr>
            <w:tcW w:w="4961" w:type="dxa"/>
            <w:shd w:val="clear" w:color="auto" w:fill="auto"/>
          </w:tcPr>
          <w:p w:rsidR="0040076E" w:rsidRPr="00C739E2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Резюме юристів, як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і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можуть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бу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ти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залучені до всіх етапів надання послуг. </w:t>
            </w:r>
          </w:p>
        </w:tc>
      </w:tr>
      <w:tr w:rsidR="0040076E" w:rsidRPr="00064BD1" w:rsidTr="0040076E">
        <w:tc>
          <w:tcPr>
            <w:tcW w:w="4395" w:type="dxa"/>
            <w:shd w:val="clear" w:color="auto" w:fill="auto"/>
          </w:tcPr>
          <w:p w:rsidR="0040076E" w:rsidRPr="00C739E2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Наявність кваліфікованих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хіміків та/або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uk-UA"/>
              </w:rPr>
              <w:t>біотехнологів</w:t>
            </w:r>
            <w:proofErr w:type="spellEnd"/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, </w:t>
            </w:r>
            <w:r w:rsidRPr="006B29F2">
              <w:rPr>
                <w:rFonts w:ascii="Tahoma" w:hAnsi="Tahoma" w:cs="Tahoma"/>
                <w:sz w:val="22"/>
                <w:szCs w:val="22"/>
                <w:lang w:val="uk-UA"/>
              </w:rPr>
              <w:t xml:space="preserve">яких постачальник послуг може залучити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для 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підготовки та подачі до суду позову від імені БО «Всеукраїнська мережа людей, які живуть з ВІЛ/СНІД» про визнання недійсними </w:t>
            </w:r>
            <w:proofErr w:type="spellStart"/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>​​патенту</w:t>
            </w:r>
            <w:proofErr w:type="spellEnd"/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на АРВ препарат та здійснення юридичного супроводу судового провадження за позовом</w:t>
            </w:r>
          </w:p>
        </w:tc>
        <w:tc>
          <w:tcPr>
            <w:tcW w:w="4961" w:type="dxa"/>
            <w:shd w:val="clear" w:color="auto" w:fill="auto"/>
          </w:tcPr>
          <w:p w:rsidR="0040076E" w:rsidRPr="00C739E2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Резюме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хіміків та/або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uk-UA"/>
              </w:rPr>
              <w:t>біотехнологів</w:t>
            </w:r>
            <w:proofErr w:type="spellEnd"/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, </w:t>
            </w:r>
            <w:r w:rsidRPr="006B29F2">
              <w:rPr>
                <w:rFonts w:ascii="Tahoma" w:hAnsi="Tahoma" w:cs="Tahoma"/>
                <w:sz w:val="22"/>
                <w:szCs w:val="22"/>
                <w:lang w:val="uk-UA"/>
              </w:rPr>
              <w:t>яких постачальник послуг може залучити</w:t>
            </w:r>
            <w:r w:rsidRPr="00C739E2">
              <w:rPr>
                <w:rFonts w:ascii="Tahoma" w:hAnsi="Tahoma" w:cs="Tahoma"/>
                <w:sz w:val="22"/>
                <w:szCs w:val="22"/>
                <w:lang w:val="uk-UA"/>
              </w:rPr>
              <w:t xml:space="preserve"> до всіх етапів надання послуг.</w:t>
            </w:r>
          </w:p>
        </w:tc>
      </w:tr>
      <w:tr w:rsidR="0040076E" w:rsidRPr="00064BD1" w:rsidTr="0090777E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40076E" w:rsidRPr="00E605CF" w:rsidRDefault="0040076E" w:rsidP="004A06CF">
            <w:pPr>
              <w:pStyle w:val="a7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  <w:r w:rsidRPr="00E605CF">
              <w:rPr>
                <w:rFonts w:ascii="Tahoma" w:hAnsi="Tahoma" w:cs="Tahoma"/>
                <w:lang w:val="ru-RU"/>
              </w:rPr>
              <w:t xml:space="preserve">Право на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здійснення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proofErr w:type="gramStart"/>
            <w:r w:rsidRPr="00E605CF">
              <w:rPr>
                <w:rFonts w:ascii="Tahoma" w:hAnsi="Tahoma" w:cs="Tahoma"/>
                <w:lang w:val="ru-RU"/>
              </w:rPr>
              <w:t>п</w:t>
            </w:r>
            <w:proofErr w:type="gramEnd"/>
            <w:r w:rsidRPr="00E605CF">
              <w:rPr>
                <w:rFonts w:ascii="Tahoma" w:hAnsi="Tahoma" w:cs="Tahoma"/>
                <w:lang w:val="ru-RU"/>
              </w:rPr>
              <w:t>ідприємницької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діяльності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</w:p>
          <w:p w:rsidR="0040076E" w:rsidRPr="00E605CF" w:rsidRDefault="0040076E" w:rsidP="004A06CF">
            <w:pPr>
              <w:pStyle w:val="a7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</w:p>
          <w:p w:rsidR="0040076E" w:rsidRPr="00E605CF" w:rsidRDefault="0040076E" w:rsidP="004A06CF">
            <w:pPr>
              <w:pStyle w:val="a7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  <w:proofErr w:type="gramStart"/>
            <w:r w:rsidRPr="00E605CF">
              <w:rPr>
                <w:rFonts w:ascii="Tahoma" w:hAnsi="Tahoma" w:cs="Tahoma"/>
                <w:lang w:val="ru-RU"/>
              </w:rPr>
              <w:t xml:space="preserve">(У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тендері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можуть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брати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участь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юридичні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особи та ФОП.</w:t>
            </w:r>
            <w:proofErr w:type="gramEnd"/>
            <w:r w:rsidRPr="00E605CF">
              <w:rPr>
                <w:rFonts w:ascii="Tahoma" w:hAnsi="Tahoma" w:cs="Tahoma"/>
                <w:lang w:val="ru-RU"/>
              </w:rPr>
              <w:t xml:space="preserve">  При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цьому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, ФОП,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які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подаються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на конкурс,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повинні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знаходитися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на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загальній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або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на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спрощеній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системі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оподаткування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(3-я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група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), а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також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мати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відповідні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КВЕДИ на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надання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послуг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>/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виконання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робіт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,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передбачених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предметом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закупі</w:t>
            </w:r>
            <w:proofErr w:type="gramStart"/>
            <w:r w:rsidRPr="00E605CF">
              <w:rPr>
                <w:rFonts w:ascii="Tahoma" w:hAnsi="Tahoma" w:cs="Tahoma"/>
                <w:lang w:val="ru-RU"/>
              </w:rPr>
              <w:t>вл</w:t>
            </w:r>
            <w:proofErr w:type="gramEnd"/>
            <w:r w:rsidRPr="00E605CF">
              <w:rPr>
                <w:rFonts w:ascii="Tahoma" w:hAnsi="Tahoma" w:cs="Tahoma"/>
                <w:lang w:val="ru-RU"/>
              </w:rPr>
              <w:t>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>)</w:t>
            </w:r>
          </w:p>
          <w:p w:rsidR="0040076E" w:rsidRPr="00E605CF" w:rsidRDefault="0040076E" w:rsidP="004A06C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40076E" w:rsidRPr="00E605CF" w:rsidRDefault="0040076E" w:rsidP="0040076E">
            <w:pPr>
              <w:pStyle w:val="a7"/>
              <w:numPr>
                <w:ilvl w:val="0"/>
                <w:numId w:val="6"/>
              </w:numPr>
              <w:ind w:right="126"/>
              <w:jc w:val="both"/>
              <w:rPr>
                <w:rFonts w:ascii="Tahoma" w:hAnsi="Tahoma" w:cs="Tahoma"/>
                <w:lang w:val="ru-RU"/>
              </w:rPr>
            </w:pPr>
            <w:proofErr w:type="spellStart"/>
            <w:r w:rsidRPr="00E605CF">
              <w:rPr>
                <w:rFonts w:ascii="Tahoma" w:hAnsi="Tahoma" w:cs="Tahoma"/>
                <w:lang w:val="ru-RU"/>
              </w:rPr>
              <w:t>Копія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proofErr w:type="gramStart"/>
            <w:r w:rsidRPr="00E605CF">
              <w:rPr>
                <w:rFonts w:ascii="Tahoma" w:hAnsi="Tahoma" w:cs="Tahoma"/>
                <w:lang w:val="ru-RU"/>
              </w:rPr>
              <w:t>Св</w:t>
            </w:r>
            <w:proofErr w:type="gramEnd"/>
            <w:r w:rsidRPr="00E605CF">
              <w:rPr>
                <w:rFonts w:ascii="Tahoma" w:hAnsi="Tahoma" w:cs="Tahoma"/>
                <w:lang w:val="ru-RU"/>
              </w:rPr>
              <w:t>ідоцтва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про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державну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реєстрацію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юридичної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особи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або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ФОП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або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Виписки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з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єдиного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державного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реєстру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юридичних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осіб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та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фізичних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осіб-підприємців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; </w:t>
            </w:r>
          </w:p>
          <w:p w:rsidR="0040076E" w:rsidRPr="0083466F" w:rsidRDefault="0040076E" w:rsidP="0040076E">
            <w:pPr>
              <w:pStyle w:val="a7"/>
              <w:numPr>
                <w:ilvl w:val="0"/>
                <w:numId w:val="6"/>
              </w:numPr>
              <w:ind w:right="126"/>
              <w:jc w:val="both"/>
              <w:rPr>
                <w:rFonts w:ascii="Tahoma" w:hAnsi="Tahoma" w:cs="Tahoma"/>
                <w:lang w:val="ru-RU"/>
              </w:rPr>
            </w:pPr>
            <w:proofErr w:type="spellStart"/>
            <w:r w:rsidRPr="00E605CF">
              <w:rPr>
                <w:rFonts w:ascii="Tahoma" w:hAnsi="Tahoma" w:cs="Tahoma"/>
                <w:lang w:val="ru-RU"/>
              </w:rPr>
              <w:t>Копія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proofErr w:type="gramStart"/>
            <w:r w:rsidRPr="00E605CF">
              <w:rPr>
                <w:rFonts w:ascii="Tahoma" w:hAnsi="Tahoma" w:cs="Tahoma"/>
                <w:lang w:val="ru-RU"/>
              </w:rPr>
              <w:t>Св</w:t>
            </w:r>
            <w:proofErr w:type="gramEnd"/>
            <w:r w:rsidRPr="00E605CF">
              <w:rPr>
                <w:rFonts w:ascii="Tahoma" w:hAnsi="Tahoma" w:cs="Tahoma"/>
                <w:lang w:val="ru-RU"/>
              </w:rPr>
              <w:t>ідоцтва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платника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ПДВ (при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умові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реєстрації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платником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ПДВ) </w:t>
            </w:r>
            <w:proofErr w:type="spellStart"/>
            <w:r w:rsidRPr="00E605CF">
              <w:rPr>
                <w:rFonts w:ascii="Tahoma" w:hAnsi="Tahoma" w:cs="Tahoma"/>
                <w:lang w:val="ru-RU"/>
              </w:rPr>
              <w:t>або</w:t>
            </w:r>
            <w:proofErr w:type="spellEnd"/>
            <w:r w:rsidRPr="00E605C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Свідоцтва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про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сплату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єдиного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податку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або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витяги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з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реєстрів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платників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ПДВ та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платників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єдиного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податку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; </w:t>
            </w:r>
          </w:p>
          <w:p w:rsidR="0040076E" w:rsidRPr="00E605CF" w:rsidRDefault="0040076E" w:rsidP="0040076E">
            <w:pPr>
              <w:pStyle w:val="a7"/>
              <w:numPr>
                <w:ilvl w:val="0"/>
                <w:numId w:val="6"/>
              </w:numPr>
              <w:ind w:right="126"/>
              <w:jc w:val="both"/>
              <w:rPr>
                <w:rFonts w:ascii="Tahoma" w:hAnsi="Tahoma" w:cs="Tahoma"/>
                <w:lang w:val="ru-RU"/>
              </w:rPr>
            </w:pPr>
            <w:proofErr w:type="spellStart"/>
            <w:r w:rsidRPr="0083466F">
              <w:rPr>
                <w:rFonts w:ascii="Tahoma" w:hAnsi="Tahoma" w:cs="Tahoma"/>
                <w:lang w:val="ru-RU"/>
              </w:rPr>
              <w:t>Копія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Статуту і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витягу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з протоколу про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призначення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lang w:val="ru-RU"/>
              </w:rPr>
              <w:t>керівника</w:t>
            </w:r>
            <w:proofErr w:type="spellEnd"/>
            <w:r w:rsidRPr="0083466F">
              <w:rPr>
                <w:rFonts w:ascii="Tahoma" w:hAnsi="Tahoma" w:cs="Tahoma"/>
                <w:lang w:val="ru-RU"/>
              </w:rPr>
              <w:t xml:space="preserve"> </w:t>
            </w:r>
            <w:r w:rsidRPr="0083466F">
              <w:rPr>
                <w:rFonts w:ascii="Tahoma" w:hAnsi="Tahoma" w:cs="Tahoma"/>
                <w:i/>
                <w:iCs/>
                <w:lang w:val="ru-RU"/>
              </w:rPr>
              <w:t xml:space="preserve">(для </w:t>
            </w:r>
            <w:proofErr w:type="spellStart"/>
            <w:r w:rsidRPr="0083466F">
              <w:rPr>
                <w:rFonts w:ascii="Tahoma" w:hAnsi="Tahoma" w:cs="Tahoma"/>
                <w:i/>
                <w:iCs/>
                <w:lang w:val="ru-RU"/>
              </w:rPr>
              <w:t>юридичних</w:t>
            </w:r>
            <w:proofErr w:type="spellEnd"/>
            <w:r w:rsidRPr="0083466F">
              <w:rPr>
                <w:rFonts w:ascii="Tahoma" w:hAnsi="Tahoma" w:cs="Tahoma"/>
                <w:i/>
                <w:iCs/>
                <w:lang w:val="ru-RU"/>
              </w:rPr>
              <w:t xml:space="preserve"> </w:t>
            </w:r>
            <w:proofErr w:type="spellStart"/>
            <w:r w:rsidRPr="0083466F">
              <w:rPr>
                <w:rFonts w:ascii="Tahoma" w:hAnsi="Tahoma" w:cs="Tahoma"/>
                <w:i/>
                <w:iCs/>
                <w:lang w:val="ru-RU"/>
              </w:rPr>
              <w:t>осіб</w:t>
            </w:r>
            <w:proofErr w:type="spellEnd"/>
            <w:r w:rsidRPr="0083466F">
              <w:rPr>
                <w:rFonts w:ascii="Tahoma" w:hAnsi="Tahoma" w:cs="Tahoma"/>
                <w:i/>
                <w:iCs/>
                <w:lang w:val="ru-RU"/>
              </w:rPr>
              <w:t>).</w:t>
            </w:r>
          </w:p>
        </w:tc>
      </w:tr>
    </w:tbl>
    <w:p w:rsidR="0096138B" w:rsidRDefault="0096138B" w:rsidP="00962A97">
      <w:pPr>
        <w:ind w:right="-284"/>
        <w:jc w:val="both"/>
        <w:rPr>
          <w:rFonts w:ascii="Calibri" w:hAnsi="Calibri" w:cs="Calibri"/>
          <w:color w:val="FF0000"/>
          <w:sz w:val="18"/>
          <w:szCs w:val="18"/>
          <w:lang w:val="uk-UA"/>
        </w:rPr>
      </w:pPr>
    </w:p>
    <w:p w:rsidR="00BA02A8" w:rsidRDefault="00BA02A8" w:rsidP="00962A97">
      <w:pPr>
        <w:ind w:right="-284"/>
        <w:jc w:val="both"/>
        <w:rPr>
          <w:rFonts w:ascii="Calibri" w:hAnsi="Calibri" w:cs="Calibri"/>
          <w:color w:val="FF0000"/>
          <w:sz w:val="18"/>
          <w:szCs w:val="1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96138B" w:rsidRPr="00572CD6" w:rsidTr="0090777E">
        <w:trPr>
          <w:trHeight w:val="659"/>
        </w:trPr>
        <w:tc>
          <w:tcPr>
            <w:tcW w:w="4962" w:type="dxa"/>
            <w:shd w:val="pct20" w:color="auto" w:fill="auto"/>
          </w:tcPr>
          <w:p w:rsidR="0096138B" w:rsidRPr="00656F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технічні вимоги до предмета закупівлі</w:t>
            </w:r>
            <w:r w:rsidRPr="00656F53">
              <w:rPr>
                <w:rStyle w:val="a8"/>
                <w:rFonts w:ascii="Tahoma" w:hAnsi="Tahoma" w:cs="Tahoma"/>
                <w:b/>
                <w:sz w:val="22"/>
                <w:szCs w:val="22"/>
                <w:lang w:val="uk-UA"/>
              </w:rPr>
              <w:endnoteReference w:id="2"/>
            </w:r>
          </w:p>
        </w:tc>
        <w:tc>
          <w:tcPr>
            <w:tcW w:w="4394" w:type="dxa"/>
            <w:shd w:val="pct20" w:color="auto" w:fill="auto"/>
          </w:tcPr>
          <w:p w:rsidR="0096138B" w:rsidRPr="00656F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технічним вимогам</w:t>
            </w:r>
          </w:p>
        </w:tc>
      </w:tr>
      <w:tr w:rsidR="0040076E" w:rsidRPr="00572CD6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40076E" w:rsidRPr="00656F53" w:rsidRDefault="0040076E" w:rsidP="004A06C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sz w:val="22"/>
                <w:szCs w:val="22"/>
                <w:lang w:val="uk-UA"/>
              </w:rPr>
              <w:t>Результати кожної складової процесу роботи повинні відповідати вищезазначеним етапам та є предметом узгодження з Мережею.</w:t>
            </w:r>
          </w:p>
        </w:tc>
        <w:tc>
          <w:tcPr>
            <w:tcW w:w="4394" w:type="dxa"/>
            <w:shd w:val="clear" w:color="auto" w:fill="auto"/>
          </w:tcPr>
          <w:p w:rsidR="0040076E" w:rsidRPr="00656F53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Тендерна пропозиція</w:t>
            </w:r>
          </w:p>
        </w:tc>
      </w:tr>
      <w:tr w:rsidR="0040076E" w:rsidRPr="00924CD4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>Зведений бюджет проекту - детальний бюджет проекту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(включаючи як планову оплату послуг фахівців, так і можливі пов’язані витрати)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 з розбивкою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максимальної вартості послуг (верхня допущена межа)</w:t>
            </w:r>
            <w:r>
              <w:rPr>
                <w:rStyle w:val="af3"/>
                <w:rFonts w:ascii="Tahoma" w:hAnsi="Tahoma" w:cs="Tahoma"/>
                <w:sz w:val="22"/>
                <w:szCs w:val="22"/>
                <w:lang w:val="uk-UA"/>
              </w:rPr>
              <w:footnoteReference w:id="2"/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 </w:t>
            </w:r>
            <w:r w:rsidRPr="000F51F5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по кожному етапу 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щодо юридичного супроводження справи по визнанню недійсним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патенту, що стосується 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АРВ препарат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.</w:t>
            </w:r>
          </w:p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  <w:p w:rsidR="0040076E" w:rsidRPr="000F51F5" w:rsidRDefault="0040076E" w:rsidP="004A06C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Зведений бюджет проекту</w:t>
            </w:r>
          </w:p>
        </w:tc>
      </w:tr>
      <w:tr w:rsidR="0040076E" w:rsidRPr="00924CD4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Процесуальні документи, отримані виконавцем під час юридичного супроводу, повинні бути передані Мережі в оригіналах</w:t>
            </w:r>
          </w:p>
        </w:tc>
        <w:tc>
          <w:tcPr>
            <w:tcW w:w="4394" w:type="dxa"/>
            <w:shd w:val="clear" w:color="auto" w:fill="auto"/>
          </w:tcPr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Тендерна пропозиція</w:t>
            </w:r>
          </w:p>
        </w:tc>
      </w:tr>
      <w:tr w:rsidR="0040076E" w:rsidRPr="00924CD4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Надання послуг юридичного супроводу може бути припинено на будь-якому з етапів надання послуг на розсуд Мережі з повідомленням виконавця за 3 дні до дня припинення послуг</w:t>
            </w:r>
          </w:p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40076E" w:rsidRPr="000F51F5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Тендерна пропозиція</w:t>
            </w:r>
          </w:p>
        </w:tc>
      </w:tr>
    </w:tbl>
    <w:p w:rsidR="00E8478B" w:rsidRPr="000D2D47" w:rsidRDefault="00E8478B" w:rsidP="00E05A7E">
      <w:pPr>
        <w:pStyle w:val="a4"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К</w:t>
      </w:r>
      <w:r w:rsidR="00E64B09" w:rsidRPr="000D2D47">
        <w:rPr>
          <w:rFonts w:ascii="Tahoma" w:hAnsi="Tahoma" w:cs="Tahoma"/>
          <w:b/>
          <w:sz w:val="21"/>
          <w:szCs w:val="21"/>
          <w:lang w:val="uk-UA"/>
        </w:rPr>
        <w:t>ритерії оцінки тендерних пропозицій, які відповідають обов’язковим технічним та кваліфікаційним вимогам, та їх вагові коефіцієнти: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3907"/>
        <w:gridCol w:w="1560"/>
        <w:gridCol w:w="3401"/>
      </w:tblGrid>
      <w:tr w:rsidR="0096138B" w:rsidRPr="00064BD1" w:rsidTr="0090777E">
        <w:trPr>
          <w:tblHeader/>
        </w:trPr>
        <w:tc>
          <w:tcPr>
            <w:tcW w:w="488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3907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Критерій оцінки</w:t>
            </w:r>
            <w:r w:rsidRPr="00064BD1">
              <w:rPr>
                <w:rStyle w:val="a8"/>
                <w:rFonts w:ascii="Tahoma" w:hAnsi="Tahoma" w:cs="Tahoma"/>
                <w:b/>
                <w:sz w:val="22"/>
                <w:szCs w:val="22"/>
                <w:lang w:val="uk-UA"/>
              </w:rPr>
              <w:endnoteReference w:id="3"/>
            </w:r>
          </w:p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Ваговий коефіцієнт</w:t>
            </w:r>
          </w:p>
        </w:tc>
        <w:tc>
          <w:tcPr>
            <w:tcW w:w="3401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критерію</w:t>
            </w:r>
          </w:p>
        </w:tc>
      </w:tr>
      <w:tr w:rsidR="0040076E" w:rsidRPr="00064BD1" w:rsidTr="0090777E">
        <w:trPr>
          <w:trHeight w:val="643"/>
        </w:trPr>
        <w:tc>
          <w:tcPr>
            <w:tcW w:w="488" w:type="dxa"/>
            <w:shd w:val="clear" w:color="auto" w:fill="auto"/>
          </w:tcPr>
          <w:p w:rsidR="0040076E" w:rsidRPr="00064BD1" w:rsidRDefault="0040076E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Вартість проекту</w:t>
            </w:r>
          </w:p>
        </w:tc>
        <w:tc>
          <w:tcPr>
            <w:tcW w:w="1560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2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0%</w:t>
            </w:r>
          </w:p>
        </w:tc>
        <w:tc>
          <w:tcPr>
            <w:tcW w:w="3401" w:type="dxa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Зведений бюджет проекту</w:t>
            </w:r>
          </w:p>
        </w:tc>
      </w:tr>
      <w:tr w:rsidR="0040076E" w:rsidRPr="00064BD1" w:rsidTr="0090777E">
        <w:tc>
          <w:tcPr>
            <w:tcW w:w="488" w:type="dxa"/>
            <w:shd w:val="clear" w:color="auto" w:fill="auto"/>
          </w:tcPr>
          <w:p w:rsidR="0040076E" w:rsidRPr="00064BD1" w:rsidRDefault="0040076E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Рівень кваліфікації юристів, необхідних для підготовки та подачі до суду позову від імені БО «Всеукраїнська мережа людей, які живуть з ВІЛ/СНІД» про визнання недійсним </w:t>
            </w:r>
            <w:proofErr w:type="spellStart"/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​​патенту</w:t>
            </w:r>
            <w:proofErr w:type="spellEnd"/>
            <w:r>
              <w:rPr>
                <w:rFonts w:ascii="Tahoma" w:hAnsi="Tahoma" w:cs="Tahoma"/>
                <w:sz w:val="22"/>
                <w:szCs w:val="22"/>
                <w:lang w:val="uk-UA"/>
              </w:rPr>
              <w:t>, що стосується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 АРВ препарат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 та здійснення юридичного супроводу судового провадження</w:t>
            </w:r>
          </w:p>
        </w:tc>
        <w:tc>
          <w:tcPr>
            <w:tcW w:w="1560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25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%</w:t>
            </w:r>
          </w:p>
        </w:tc>
        <w:tc>
          <w:tcPr>
            <w:tcW w:w="3401" w:type="dxa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Резюме основних виконавців, які будуть залучені до всіх етапів проекту</w:t>
            </w:r>
          </w:p>
        </w:tc>
      </w:tr>
      <w:tr w:rsidR="0040076E" w:rsidRPr="00064BD1" w:rsidTr="0090777E">
        <w:tc>
          <w:tcPr>
            <w:tcW w:w="488" w:type="dxa"/>
            <w:shd w:val="clear" w:color="auto" w:fill="auto"/>
          </w:tcPr>
          <w:p w:rsidR="0040076E" w:rsidRPr="00064BD1" w:rsidRDefault="0040076E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Рівень кваліфікації хіміків та/або </w:t>
            </w:r>
            <w:proofErr w:type="spellStart"/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біотехнологів</w:t>
            </w:r>
            <w:proofErr w:type="spellEnd"/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, необхідних для підготовки та подачі до суду позову від імені БО «Всеукраїнська мережа людей, які живуть з ВІЛ/СНІД» про визнання недійсним </w:t>
            </w:r>
            <w:proofErr w:type="spellStart"/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​​патенту</w:t>
            </w:r>
            <w:proofErr w:type="spellEnd"/>
            <w:r>
              <w:rPr>
                <w:rFonts w:ascii="Tahoma" w:hAnsi="Tahoma" w:cs="Tahoma"/>
                <w:sz w:val="22"/>
                <w:szCs w:val="22"/>
                <w:lang w:val="uk-UA"/>
              </w:rPr>
              <w:t>, що стосується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 АРВ препарат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 та здійснення юридичного супроводу судового провадження </w:t>
            </w:r>
          </w:p>
        </w:tc>
        <w:tc>
          <w:tcPr>
            <w:tcW w:w="1560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25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%</w:t>
            </w:r>
          </w:p>
        </w:tc>
        <w:tc>
          <w:tcPr>
            <w:tcW w:w="3401" w:type="dxa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Резюме основних виконавців, які будуть залучені до всіх етапів проекту</w:t>
            </w:r>
          </w:p>
        </w:tc>
      </w:tr>
      <w:tr w:rsidR="0040076E" w:rsidRPr="00BA02A8" w:rsidTr="0090777E">
        <w:tc>
          <w:tcPr>
            <w:tcW w:w="488" w:type="dxa"/>
            <w:shd w:val="clear" w:color="auto" w:fill="auto"/>
          </w:tcPr>
          <w:p w:rsidR="0040076E" w:rsidRPr="00064BD1" w:rsidRDefault="0040076E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Досвід ведення </w:t>
            </w:r>
            <w:r w:rsidRPr="00D30DAC">
              <w:rPr>
                <w:rFonts w:ascii="Tahoma" w:hAnsi="Tahoma" w:cs="Tahoma"/>
                <w:sz w:val="22"/>
                <w:szCs w:val="22"/>
                <w:lang w:val="uk-UA"/>
              </w:rPr>
              <w:t xml:space="preserve">судових справ щодо визнання недійсними патентів на винаходи, що стосуються </w:t>
            </w:r>
            <w:r w:rsidRPr="00D30DAC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>лікарських засобів, та/або щодо захисту патентних прав, що стосуються  лікарських засобів, та/або щодо захисту прав та інтересів осіб проти яких були подані вищезазначені позови</w:t>
            </w:r>
          </w:p>
        </w:tc>
        <w:tc>
          <w:tcPr>
            <w:tcW w:w="1560" w:type="dxa"/>
            <w:shd w:val="clear" w:color="auto" w:fill="auto"/>
          </w:tcPr>
          <w:p w:rsidR="0040076E" w:rsidRPr="003D7E98" w:rsidRDefault="0040076E" w:rsidP="004A06CF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>3</w:t>
            </w: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>0%</w:t>
            </w:r>
          </w:p>
        </w:tc>
        <w:tc>
          <w:tcPr>
            <w:tcW w:w="3401" w:type="dxa"/>
          </w:tcPr>
          <w:p w:rsidR="0040076E" w:rsidRPr="003D7E98" w:rsidRDefault="0040076E" w:rsidP="00F90960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3D7E98">
              <w:rPr>
                <w:rFonts w:ascii="Tahoma" w:hAnsi="Tahoma" w:cs="Tahoma"/>
                <w:sz w:val="22"/>
                <w:szCs w:val="22"/>
                <w:lang w:val="uk-UA"/>
              </w:rPr>
              <w:t xml:space="preserve">Інформаційна довідка з переліком успішних судових справ </w:t>
            </w:r>
            <w:r w:rsidRPr="00D30DAC">
              <w:rPr>
                <w:rFonts w:ascii="Tahoma" w:hAnsi="Tahoma" w:cs="Tahoma"/>
                <w:sz w:val="22"/>
                <w:szCs w:val="22"/>
                <w:lang w:val="uk-UA"/>
              </w:rPr>
              <w:t xml:space="preserve">щодо визнання </w:t>
            </w:r>
            <w:r w:rsidRPr="00D30DAC">
              <w:rPr>
                <w:rFonts w:ascii="Tahoma" w:hAnsi="Tahoma" w:cs="Tahoma"/>
                <w:sz w:val="22"/>
                <w:szCs w:val="22"/>
                <w:lang w:val="uk-UA"/>
              </w:rPr>
              <w:lastRenderedPageBreak/>
              <w:t>недійсними патентів на винаходи, що стосуються лікарських засобів, та/або щодо захисту патентних прав, що стосуються  лікарських засобів, та/або щодо захисту прав та інтересів осіб проти яких були подані вищезазначені позови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(з обов’язковим посиланням на Єдиний державний реєстр судових рішень)</w:t>
            </w:r>
          </w:p>
        </w:tc>
      </w:tr>
    </w:tbl>
    <w:p w:rsidR="0096138B" w:rsidRPr="000D2D47" w:rsidRDefault="0096138B" w:rsidP="0096138B">
      <w:pPr>
        <w:ind w:right="-284"/>
        <w:jc w:val="both"/>
        <w:rPr>
          <w:rFonts w:ascii="Calibri" w:hAnsi="Calibri" w:cs="Calibri"/>
          <w:color w:val="FF0000"/>
          <w:sz w:val="18"/>
          <w:szCs w:val="18"/>
          <w:lang w:val="uk-UA"/>
        </w:rPr>
      </w:pPr>
      <w:r w:rsidRPr="000D2D47">
        <w:rPr>
          <w:rFonts w:ascii="Calibri" w:hAnsi="Calibri" w:cs="Calibri"/>
          <w:color w:val="FF0000"/>
          <w:sz w:val="18"/>
          <w:szCs w:val="18"/>
          <w:lang w:val="uk-UA"/>
        </w:rPr>
        <w:lastRenderedPageBreak/>
        <w:t xml:space="preserve">! До оцінювання згідно критеріям оцінки допускаються тендерні пропозиції, які відповідатимуть обов’язковим технічним кваліфікаційним вимогам. Невідповідність хоча б одній з технічних вимог тендерної пропозиції учасника </w:t>
      </w:r>
      <w:r w:rsidRPr="000D2D47">
        <w:rPr>
          <w:rFonts w:ascii="Calibri" w:hAnsi="Calibri" w:cs="Calibri"/>
          <w:color w:val="FF0000"/>
          <w:sz w:val="18"/>
          <w:szCs w:val="18"/>
          <w:u w:val="single"/>
          <w:lang w:val="uk-UA"/>
        </w:rPr>
        <w:t>призводить до автоматичної повної дискваліфікації такої тендерної пропозиції</w:t>
      </w:r>
      <w:r w:rsidRPr="000D2D47">
        <w:rPr>
          <w:rFonts w:ascii="Calibri" w:hAnsi="Calibri" w:cs="Calibri"/>
          <w:color w:val="FF0000"/>
          <w:sz w:val="18"/>
          <w:szCs w:val="18"/>
          <w:lang w:val="uk-UA"/>
        </w:rPr>
        <w:t>.</w:t>
      </w:r>
    </w:p>
    <w:p w:rsidR="0061412E" w:rsidRPr="000D2D47" w:rsidRDefault="0061412E" w:rsidP="00E05A7E">
      <w:pPr>
        <w:tabs>
          <w:tab w:val="right" w:pos="8640"/>
        </w:tabs>
        <w:suppressAutoHyphens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E8478B" w:rsidRPr="000D2D47" w:rsidRDefault="00A94602" w:rsidP="00E05A7E">
      <w:pPr>
        <w:tabs>
          <w:tab w:val="right" w:pos="8640"/>
        </w:tabs>
        <w:suppressAutoHyphens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Т</w:t>
      </w:r>
      <w:r w:rsidR="00962A97" w:rsidRPr="000D2D47">
        <w:rPr>
          <w:rFonts w:ascii="Tahoma" w:hAnsi="Tahoma" w:cs="Tahoma"/>
          <w:b/>
          <w:sz w:val="21"/>
          <w:szCs w:val="21"/>
          <w:lang w:val="uk-UA"/>
        </w:rPr>
        <w:t xml:space="preserve">ЕНДЕРНА </w:t>
      </w:r>
      <w:r w:rsidR="00E05A7E" w:rsidRPr="000D2D47">
        <w:rPr>
          <w:rFonts w:ascii="Tahoma" w:hAnsi="Tahoma" w:cs="Tahoma"/>
          <w:b/>
          <w:sz w:val="21"/>
          <w:szCs w:val="21"/>
          <w:lang w:val="uk-UA"/>
        </w:rPr>
        <w:t xml:space="preserve">ПРОПОЗИЦІЯ МАЄ </w:t>
      </w:r>
      <w:r w:rsidR="00522C62" w:rsidRPr="000D2D47">
        <w:rPr>
          <w:rFonts w:ascii="Tahoma" w:hAnsi="Tahoma" w:cs="Tahoma"/>
          <w:b/>
          <w:sz w:val="21"/>
          <w:szCs w:val="21"/>
          <w:lang w:val="uk-UA"/>
        </w:rPr>
        <w:t>ВКЛЮЧАТИ В СЕБЕ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>:</w:t>
      </w:r>
    </w:p>
    <w:p w:rsidR="00E05A7E" w:rsidRPr="000D2D47" w:rsidRDefault="0091435D" w:rsidP="00E05A7E">
      <w:pPr>
        <w:pStyle w:val="a7"/>
        <w:numPr>
          <w:ilvl w:val="0"/>
          <w:numId w:val="8"/>
        </w:numPr>
        <w:tabs>
          <w:tab w:val="clear" w:pos="2149"/>
        </w:tabs>
        <w:autoSpaceDE w:val="0"/>
        <w:autoSpaceDN w:val="0"/>
        <w:adjustRightInd w:val="0"/>
        <w:ind w:left="0" w:firstLine="142"/>
        <w:jc w:val="both"/>
        <w:rPr>
          <w:rFonts w:ascii="Tahoma" w:hAnsi="Tahoma" w:cs="Tahoma"/>
          <w:color w:val="000000"/>
          <w:sz w:val="21"/>
          <w:szCs w:val="21"/>
          <w:lang w:val="uk-UA"/>
        </w:rPr>
      </w:pPr>
      <w:r>
        <w:rPr>
          <w:rFonts w:ascii="Tahoma" w:hAnsi="Tahoma" w:cs="Tahoma"/>
          <w:color w:val="000000"/>
          <w:sz w:val="21"/>
          <w:szCs w:val="21"/>
          <w:lang w:val="uk-UA"/>
        </w:rPr>
        <w:t>Заповнену т</w:t>
      </w:r>
      <w:r w:rsidR="00E05A7E" w:rsidRPr="000D2D47">
        <w:rPr>
          <w:rFonts w:ascii="Tahoma" w:hAnsi="Tahoma" w:cs="Tahoma"/>
          <w:color w:val="000000"/>
          <w:sz w:val="21"/>
          <w:szCs w:val="21"/>
          <w:lang w:val="uk-UA"/>
        </w:rPr>
        <w:t>ендерн</w:t>
      </w:r>
      <w:r w:rsidR="00522C62" w:rsidRPr="000D2D47">
        <w:rPr>
          <w:rFonts w:ascii="Tahoma" w:hAnsi="Tahoma" w:cs="Tahoma"/>
          <w:color w:val="000000"/>
          <w:sz w:val="21"/>
          <w:szCs w:val="21"/>
          <w:lang w:val="uk-UA"/>
        </w:rPr>
        <w:t>у</w:t>
      </w:r>
      <w:r w:rsidR="00E05A7E" w:rsidRPr="000D2D47">
        <w:rPr>
          <w:rFonts w:ascii="Tahoma" w:hAnsi="Tahoma" w:cs="Tahoma"/>
          <w:color w:val="000000"/>
          <w:sz w:val="21"/>
          <w:szCs w:val="21"/>
          <w:lang w:val="uk-UA"/>
        </w:rPr>
        <w:t xml:space="preserve"> пропозиці</w:t>
      </w:r>
      <w:r w:rsidR="00522C62" w:rsidRPr="000D2D47">
        <w:rPr>
          <w:rFonts w:ascii="Tahoma" w:hAnsi="Tahoma" w:cs="Tahoma"/>
          <w:color w:val="000000"/>
          <w:sz w:val="21"/>
          <w:szCs w:val="21"/>
          <w:lang w:val="uk-UA"/>
        </w:rPr>
        <w:t>ю</w:t>
      </w:r>
      <w:r>
        <w:rPr>
          <w:rFonts w:ascii="Tahoma" w:hAnsi="Tahoma" w:cs="Tahoma"/>
          <w:color w:val="000000"/>
          <w:sz w:val="21"/>
          <w:szCs w:val="21"/>
          <w:lang w:val="uk-UA"/>
        </w:rPr>
        <w:t xml:space="preserve"> (форма додається)</w:t>
      </w:r>
      <w:r w:rsidR="00E05A7E" w:rsidRPr="000D2D47">
        <w:rPr>
          <w:rFonts w:ascii="Tahoma" w:hAnsi="Tahoma" w:cs="Tahoma"/>
          <w:color w:val="000000"/>
          <w:sz w:val="21"/>
          <w:szCs w:val="21"/>
          <w:lang w:val="uk-UA"/>
        </w:rPr>
        <w:t xml:space="preserve">. </w:t>
      </w:r>
    </w:p>
    <w:p w:rsidR="000D2D47" w:rsidRDefault="000D2D47" w:rsidP="00BC0287">
      <w:pPr>
        <w:pStyle w:val="a7"/>
        <w:numPr>
          <w:ilvl w:val="0"/>
          <w:numId w:val="8"/>
        </w:numPr>
        <w:tabs>
          <w:tab w:val="clear" w:pos="2149"/>
          <w:tab w:val="num" w:pos="709"/>
        </w:tabs>
        <w:autoSpaceDE w:val="0"/>
        <w:autoSpaceDN w:val="0"/>
        <w:adjustRightInd w:val="0"/>
        <w:ind w:left="709" w:hanging="567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Документи на підтвердження кваліфікаційних вимог до оголошення.</w:t>
      </w:r>
    </w:p>
    <w:p w:rsidR="00573C58" w:rsidRDefault="00573C58" w:rsidP="00BC0287">
      <w:pPr>
        <w:pStyle w:val="a7"/>
        <w:numPr>
          <w:ilvl w:val="0"/>
          <w:numId w:val="8"/>
        </w:numPr>
        <w:tabs>
          <w:tab w:val="clear" w:pos="2149"/>
          <w:tab w:val="num" w:pos="709"/>
        </w:tabs>
        <w:autoSpaceDE w:val="0"/>
        <w:autoSpaceDN w:val="0"/>
        <w:adjustRightInd w:val="0"/>
        <w:ind w:left="709" w:hanging="567"/>
        <w:jc w:val="both"/>
        <w:rPr>
          <w:rFonts w:ascii="Tahoma" w:hAnsi="Tahoma" w:cs="Tahoma"/>
          <w:sz w:val="21"/>
          <w:szCs w:val="21"/>
          <w:lang w:val="uk-UA"/>
        </w:rPr>
      </w:pPr>
      <w:r>
        <w:rPr>
          <w:rFonts w:ascii="Tahoma" w:hAnsi="Tahoma" w:cs="Tahoma"/>
          <w:sz w:val="21"/>
          <w:szCs w:val="21"/>
          <w:lang w:val="uk-UA"/>
        </w:rPr>
        <w:t>Д</w:t>
      </w:r>
      <w:r w:rsidRPr="00573C58">
        <w:rPr>
          <w:rFonts w:ascii="Tahoma" w:hAnsi="Tahoma" w:cs="Tahoma"/>
          <w:sz w:val="21"/>
          <w:szCs w:val="21"/>
          <w:lang w:val="uk-UA"/>
        </w:rPr>
        <w:t>етальний бюджет проекту</w:t>
      </w:r>
      <w:r w:rsidR="00253BAC">
        <w:rPr>
          <w:rFonts w:ascii="Tahoma" w:hAnsi="Tahoma" w:cs="Tahoma"/>
          <w:sz w:val="21"/>
          <w:szCs w:val="21"/>
          <w:lang w:val="uk-UA"/>
        </w:rPr>
        <w:t>.</w:t>
      </w:r>
      <w:bookmarkStart w:id="0" w:name="_GoBack"/>
      <w:bookmarkEnd w:id="0"/>
    </w:p>
    <w:p w:rsidR="0096138B" w:rsidRPr="000D2D47" w:rsidRDefault="0096138B" w:rsidP="0091435D">
      <w:pPr>
        <w:pStyle w:val="a7"/>
        <w:autoSpaceDE w:val="0"/>
        <w:autoSpaceDN w:val="0"/>
        <w:adjustRightInd w:val="0"/>
        <w:ind w:left="709"/>
        <w:jc w:val="both"/>
        <w:rPr>
          <w:rFonts w:ascii="Tahoma" w:hAnsi="Tahoma" w:cs="Tahoma"/>
          <w:sz w:val="21"/>
          <w:szCs w:val="21"/>
          <w:lang w:val="uk-UA"/>
        </w:rPr>
      </w:pPr>
    </w:p>
    <w:p w:rsidR="00887586" w:rsidRDefault="00887586" w:rsidP="004D04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Мережа залишає за собою право в момент визначення переможця тендеру рекомендувати переможцю збільшити або зменшити на 15% обсяг послуг з відповідною зміною ціни або інших умов тендерної пропозиції.</w:t>
      </w:r>
    </w:p>
    <w:p w:rsidR="00887586" w:rsidRPr="000D2D47" w:rsidRDefault="00887586" w:rsidP="00887586">
      <w:pPr>
        <w:widowControl w:val="0"/>
        <w:autoSpaceDE w:val="0"/>
        <w:autoSpaceDN w:val="0"/>
        <w:adjustRightInd w:val="0"/>
        <w:ind w:firstLine="426"/>
        <w:rPr>
          <w:rFonts w:ascii="Tahoma" w:hAnsi="Tahoma" w:cs="Tahoma"/>
          <w:sz w:val="21"/>
          <w:szCs w:val="21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П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ОСАДОВІ ОСОБИ ЗАМОВНИКА, УПОВНОВАЖЕНІ ЗДІЙСНЮВАТИ ЗВ'ЯЗОК З УЧАСНИКАМИ ТОРГІВ</w:t>
      </w:r>
    </w:p>
    <w:p w:rsidR="00E8478B" w:rsidRPr="000D2D47" w:rsidRDefault="00E8478B" w:rsidP="00887586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Додаткову інформацію можна отримати </w:t>
      </w:r>
      <w:r w:rsidR="000D2D47" w:rsidRPr="000D2D47">
        <w:rPr>
          <w:rFonts w:ascii="Tahoma" w:hAnsi="Tahoma" w:cs="Tahoma"/>
          <w:sz w:val="21"/>
          <w:szCs w:val="21"/>
          <w:lang w:val="uk-UA"/>
        </w:rPr>
        <w:t xml:space="preserve">у фахівця відділу закупівель </w:t>
      </w:r>
      <w:proofErr w:type="spellStart"/>
      <w:r w:rsidR="000D2D47" w:rsidRPr="000D2D47">
        <w:rPr>
          <w:rFonts w:ascii="Tahoma" w:hAnsi="Tahoma" w:cs="Tahoma"/>
          <w:sz w:val="21"/>
          <w:szCs w:val="21"/>
          <w:lang w:val="uk-UA"/>
        </w:rPr>
        <w:t>Заітова</w:t>
      </w:r>
      <w:proofErr w:type="spellEnd"/>
      <w:r w:rsidR="000D2D47"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proofErr w:type="spellStart"/>
      <w:r w:rsidR="000D2D47" w:rsidRPr="000D2D47">
        <w:rPr>
          <w:rFonts w:ascii="Tahoma" w:hAnsi="Tahoma" w:cs="Tahoma"/>
          <w:sz w:val="21"/>
          <w:szCs w:val="21"/>
          <w:lang w:val="uk-UA"/>
        </w:rPr>
        <w:t>Акіма</w:t>
      </w:r>
      <w:proofErr w:type="spellEnd"/>
      <w:r w:rsidR="000D2D47"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за телефонами: (044) </w:t>
      </w:r>
      <w:r w:rsidR="00410713">
        <w:rPr>
          <w:rFonts w:ascii="Tahoma" w:hAnsi="Tahoma" w:cs="Tahoma"/>
          <w:sz w:val="21"/>
          <w:szCs w:val="21"/>
          <w:lang w:val="uk-UA"/>
        </w:rPr>
        <w:t>339-92-39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, (внутрішній номер </w:t>
      </w:r>
      <w:r w:rsidR="000D2D47" w:rsidRPr="000D2D47">
        <w:rPr>
          <w:rFonts w:ascii="Tahoma" w:hAnsi="Tahoma" w:cs="Tahoma"/>
          <w:sz w:val="21"/>
          <w:szCs w:val="21"/>
          <w:lang w:val="uk-UA"/>
        </w:rPr>
        <w:t>70</w:t>
      </w:r>
      <w:r w:rsidR="00573C58">
        <w:rPr>
          <w:rFonts w:ascii="Tahoma" w:hAnsi="Tahoma" w:cs="Tahoma"/>
          <w:sz w:val="21"/>
          <w:szCs w:val="21"/>
          <w:lang w:val="uk-UA"/>
        </w:rPr>
        <w:t>3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), </w:t>
      </w:r>
      <w:r w:rsidR="000D2D47">
        <w:rPr>
          <w:rFonts w:ascii="Tahoma" w:hAnsi="Tahoma" w:cs="Tahoma"/>
          <w:sz w:val="21"/>
          <w:szCs w:val="21"/>
          <w:lang w:val="uk-UA"/>
        </w:rPr>
        <w:t xml:space="preserve">або 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е-mail: </w:t>
      </w:r>
      <w:proofErr w:type="spellStart"/>
      <w:r w:rsidR="000D2D47" w:rsidRPr="000D2D47">
        <w:rPr>
          <w:rStyle w:val="a3"/>
          <w:rFonts w:ascii="Tahoma" w:hAnsi="Tahoma" w:cs="Tahoma"/>
          <w:sz w:val="21"/>
          <w:szCs w:val="21"/>
          <w:lang w:val="uk-UA"/>
        </w:rPr>
        <w:t>a.zaitov</w:t>
      </w:r>
      <w:proofErr w:type="spellEnd"/>
      <w:r w:rsidR="00887586" w:rsidRPr="000D2D47">
        <w:rPr>
          <w:rStyle w:val="a3"/>
          <w:rFonts w:ascii="Tahoma" w:hAnsi="Tahoma" w:cs="Tahoma"/>
          <w:sz w:val="21"/>
          <w:szCs w:val="21"/>
          <w:lang w:val="uk-UA"/>
        </w:rPr>
        <w:t>@</w:t>
      </w:r>
      <w:proofErr w:type="spellStart"/>
      <w:r w:rsidR="00887586" w:rsidRPr="000D2D47">
        <w:rPr>
          <w:rStyle w:val="a3"/>
          <w:rFonts w:ascii="Tahoma" w:hAnsi="Tahoma" w:cs="Tahoma"/>
          <w:sz w:val="21"/>
          <w:szCs w:val="21"/>
          <w:lang w:val="uk-UA"/>
        </w:rPr>
        <w:t>network.org.ua</w:t>
      </w:r>
      <w:proofErr w:type="spellEnd"/>
      <w:r w:rsidRPr="000D2D47">
        <w:rPr>
          <w:rStyle w:val="a3"/>
          <w:rFonts w:ascii="Tahoma" w:hAnsi="Tahoma" w:cs="Tahoma"/>
          <w:sz w:val="21"/>
          <w:szCs w:val="21"/>
          <w:lang w:val="uk-UA"/>
        </w:rPr>
        <w:t>.</w:t>
      </w:r>
    </w:p>
    <w:p w:rsidR="00FD12DD" w:rsidRPr="000D2D47" w:rsidRDefault="00FD12DD" w:rsidP="00887586">
      <w:pPr>
        <w:ind w:firstLine="540"/>
        <w:rPr>
          <w:rFonts w:ascii="Tahoma" w:hAnsi="Tahoma" w:cs="Tahoma"/>
          <w:b/>
          <w:sz w:val="21"/>
          <w:szCs w:val="21"/>
          <w:lang w:val="uk-UA"/>
        </w:rPr>
      </w:pPr>
    </w:p>
    <w:p w:rsidR="00E8478B" w:rsidRPr="000D2D47" w:rsidRDefault="00E8478B" w:rsidP="00E05A7E">
      <w:pPr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П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РАВИЛА ОФОРМЛЕННЯ ТЕНДЕРНОЇ ПРОПОЗИЦІЇ УЧАСНИКА ТОРГІВ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887586" w:rsidRPr="000D2D47" w:rsidRDefault="00887586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Всі копії будь-яких документів, що включаються в тендерну пропозицію, мають бути обов’язково завіреними підписом учасника, а якщо учасником є юридична особа, то печаткою та підписом уповноваженої особи. До тендерної пропозиції повинні додаватись документи, які посвідчують право такої уповноваженої особи підписувати тендерну пропозицію (наказ про призначення керівника або довіреність).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Надані копії документів мають бути розбірливими та якісними.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Відповідальність за достовірність наданої інформації в своїй тендерній пропозиції несе учасник.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Строк дії тендерної пропозиції повинен становити не менше </w:t>
      </w:r>
      <w:r w:rsidR="000D2D47">
        <w:rPr>
          <w:rFonts w:ascii="Tahoma" w:hAnsi="Tahoma" w:cs="Tahoma"/>
          <w:sz w:val="21"/>
          <w:szCs w:val="21"/>
          <w:lang w:val="uk-UA"/>
        </w:rPr>
        <w:t>60 календарних днів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 з дати </w:t>
      </w:r>
      <w:r w:rsidR="000D2D47">
        <w:rPr>
          <w:rFonts w:ascii="Tahoma" w:hAnsi="Tahoma" w:cs="Tahoma"/>
          <w:sz w:val="21"/>
          <w:szCs w:val="21"/>
          <w:lang w:val="uk-UA"/>
        </w:rPr>
        <w:t>відкриття пропозицій</w:t>
      </w:r>
      <w:r w:rsidRPr="000D2D47">
        <w:rPr>
          <w:rFonts w:ascii="Tahoma" w:hAnsi="Tahoma" w:cs="Tahoma"/>
          <w:sz w:val="21"/>
          <w:szCs w:val="21"/>
          <w:lang w:val="uk-UA"/>
        </w:rPr>
        <w:t>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Тендерна пропозиція має бути отримана Мережею у</w:t>
      </w:r>
      <w:r w:rsidR="00BC0287" w:rsidRPr="000D2D47">
        <w:rPr>
          <w:rFonts w:ascii="Tahoma" w:hAnsi="Tahoma" w:cs="Tahoma"/>
          <w:b/>
          <w:sz w:val="21"/>
          <w:szCs w:val="21"/>
          <w:lang w:val="uk-UA"/>
        </w:rPr>
        <w:t xml:space="preserve"> друкованому вигляді у</w:t>
      </w:r>
      <w:r w:rsidRPr="000D2D47">
        <w:rPr>
          <w:rFonts w:ascii="Tahoma" w:hAnsi="Tahoma" w:cs="Tahoma"/>
          <w:b/>
          <w:sz w:val="21"/>
          <w:szCs w:val="21"/>
          <w:lang w:val="uk-UA"/>
        </w:rPr>
        <w:t xml:space="preserve"> конверті, який на лініях склеювання має бути промаркований печаткою учасника у декількох місцях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тендерних пропозицій. </w:t>
      </w:r>
    </w:p>
    <w:p w:rsidR="00E8478B" w:rsidRPr="000D2D47" w:rsidRDefault="003F5B4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У разі, якщо тендерна пропозиція надійшла після спливу кінцевого терміну приймання тендерних пропозицій, то конверт з такою тендерною пропозицією не розкривається і повертається Мережею на адресу відправника. </w:t>
      </w:r>
    </w:p>
    <w:p w:rsidR="00314415" w:rsidRPr="000D2D47" w:rsidRDefault="003F5B4B" w:rsidP="00314415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До участі у оцінці тендерних пропозицій Комітетом із затвердження закупівлі допускаються тендерні пропозиції, які повністю відповідають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умовам </w:t>
      </w:r>
      <w:r w:rsidR="00E8478B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Оголошення та формі </w:t>
      </w:r>
      <w:r w:rsidR="00F974ED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т</w:t>
      </w:r>
      <w:r w:rsidR="00E8478B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ендерної пропозиції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. </w:t>
      </w:r>
    </w:p>
    <w:p w:rsidR="00BE4D31" w:rsidRPr="000D2D47" w:rsidRDefault="00BE4D31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Т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ЕНДЕРНІ ПРОПОЗИЦІЇ ПРИЙМАЮТЬСЯ ЗА АДРЕСОЮ</w:t>
      </w:r>
      <w:r w:rsidRPr="000D2D47">
        <w:rPr>
          <w:rFonts w:ascii="Tahoma" w:hAnsi="Tahoma" w:cs="Tahoma"/>
          <w:b/>
          <w:sz w:val="21"/>
          <w:szCs w:val="21"/>
          <w:lang w:val="uk-UA"/>
        </w:rPr>
        <w:t>:</w:t>
      </w:r>
    </w:p>
    <w:p w:rsidR="00BC0287" w:rsidRDefault="00E8478B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Україна,  04080, м. Київ, вул. </w:t>
      </w:r>
      <w:proofErr w:type="spellStart"/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Межигірська</w:t>
      </w:r>
      <w:proofErr w:type="spellEnd"/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, 87-</w:t>
      </w:r>
      <w:r w:rsidR="00703AF8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Б</w:t>
      </w: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,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під’їзд 1,</w:t>
      </w: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поверх 2.</w:t>
      </w: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</w:t>
      </w:r>
    </w:p>
    <w:p w:rsidR="00AA6E5E" w:rsidRDefault="00AA6E5E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</w:p>
    <w:p w:rsidR="00AA6E5E" w:rsidRPr="00AA6E5E" w:rsidRDefault="00AA6E5E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AA6E5E">
        <w:rPr>
          <w:rFonts w:ascii="Tahoma" w:hAnsi="Tahoma" w:cs="Tahoma"/>
          <w:b/>
          <w:sz w:val="21"/>
          <w:szCs w:val="21"/>
          <w:lang w:val="uk-UA"/>
        </w:rPr>
        <w:lastRenderedPageBreak/>
        <w:t>ПРОВЕДЕННЯ ПРОЦЕДУРИ РЕДУКЦІОНУ:</w:t>
      </w:r>
    </w:p>
    <w:p w:rsidR="00AA6E5E" w:rsidRDefault="00AA6E5E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Мережа залишає за собою право провести процедуру </w:t>
      </w:r>
      <w:proofErr w:type="spellStart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рекціону</w:t>
      </w:r>
      <w:proofErr w:type="spellEnd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.</w:t>
      </w:r>
    </w:p>
    <w:p w:rsidR="00AA6E5E" w:rsidRPr="000D2D47" w:rsidRDefault="00AA6E5E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Інформація про проведення </w:t>
      </w:r>
      <w:proofErr w:type="spellStart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редукціону</w:t>
      </w:r>
      <w:proofErr w:type="spellEnd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буде повідомлена учасникам закупівлі додатково.</w:t>
      </w:r>
    </w:p>
    <w:p w:rsidR="0024589B" w:rsidRPr="000D2D47" w:rsidRDefault="00E8478B" w:rsidP="00887586">
      <w:pPr>
        <w:ind w:firstLine="426"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ab/>
      </w:r>
    </w:p>
    <w:p w:rsidR="00E8478B" w:rsidRPr="000D2D47" w:rsidRDefault="00E8478B" w:rsidP="00E05A7E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К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ІНЦЕВИЙ ТЕРМІН ПРИЙМАННЯ ТЕНДЕРНИХ ПРОПОЗИЦІЙ ВІД УЧАСНИКІВ ТОРГІВ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: </w:t>
      </w:r>
    </w:p>
    <w:p w:rsidR="00E8478B" w:rsidRPr="000D2D47" w:rsidRDefault="0008371B" w:rsidP="00E05A7E">
      <w:pPr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 «</w:t>
      </w:r>
      <w:r w:rsidR="00573C58">
        <w:rPr>
          <w:rFonts w:ascii="Tahoma" w:hAnsi="Tahoma" w:cs="Tahoma"/>
          <w:sz w:val="21"/>
          <w:szCs w:val="21"/>
          <w:lang w:val="uk-UA"/>
        </w:rPr>
        <w:t>03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» </w:t>
      </w:r>
      <w:r w:rsidR="00573C58">
        <w:rPr>
          <w:rFonts w:ascii="Tahoma" w:hAnsi="Tahoma" w:cs="Tahoma"/>
          <w:sz w:val="21"/>
          <w:szCs w:val="21"/>
          <w:lang w:val="uk-UA"/>
        </w:rPr>
        <w:t>листопада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 201</w:t>
      </w:r>
      <w:r w:rsidR="00703AF8">
        <w:rPr>
          <w:rFonts w:ascii="Tahoma" w:hAnsi="Tahoma" w:cs="Tahoma"/>
          <w:sz w:val="21"/>
          <w:szCs w:val="21"/>
          <w:lang w:val="uk-UA"/>
        </w:rPr>
        <w:t>6</w:t>
      </w:r>
      <w:r w:rsidR="00314415" w:rsidRPr="000D2D47">
        <w:rPr>
          <w:rFonts w:ascii="Tahoma" w:hAnsi="Tahoma" w:cs="Tahoma"/>
          <w:sz w:val="21"/>
          <w:szCs w:val="21"/>
          <w:lang w:val="uk-UA"/>
        </w:rPr>
        <w:t xml:space="preserve"> року, до 1</w:t>
      </w:r>
      <w:r w:rsidR="00703AF8">
        <w:rPr>
          <w:rFonts w:ascii="Tahoma" w:hAnsi="Tahoma" w:cs="Tahoma"/>
          <w:sz w:val="21"/>
          <w:szCs w:val="21"/>
          <w:lang w:val="uk-UA"/>
        </w:rPr>
        <w:t>5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 год. 00 хв. за київським часом.</w:t>
      </w:r>
    </w:p>
    <w:p w:rsidR="00E8478B" w:rsidRPr="000D2D47" w:rsidRDefault="00E8478B" w:rsidP="00E05A7E">
      <w:pPr>
        <w:jc w:val="both"/>
        <w:rPr>
          <w:rFonts w:ascii="Tahoma" w:hAnsi="Tahoma" w:cs="Tahoma"/>
          <w:b/>
          <w:bCs/>
          <w:iCs/>
          <w:sz w:val="21"/>
          <w:szCs w:val="21"/>
          <w:highlight w:val="yellow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bCs/>
          <w:iCs/>
          <w:sz w:val="21"/>
          <w:szCs w:val="21"/>
          <w:lang w:val="uk-UA"/>
        </w:rPr>
        <w:t>Р</w:t>
      </w:r>
      <w:r w:rsidR="00154E55" w:rsidRPr="000D2D47">
        <w:rPr>
          <w:rFonts w:ascii="Tahoma" w:hAnsi="Tahoma" w:cs="Tahoma"/>
          <w:b/>
          <w:bCs/>
          <w:iCs/>
          <w:sz w:val="21"/>
          <w:szCs w:val="21"/>
          <w:lang w:val="uk-UA"/>
        </w:rPr>
        <w:t>ОЗКРИТТЯ ТЕНДЕРНИХ ПРОПОЗИЦІЙ УЧАСНИКІВ ТОРГІВ ВІДБУДЕТЬСЯ</w:t>
      </w:r>
      <w:r w:rsidRPr="000D2D47">
        <w:rPr>
          <w:rFonts w:ascii="Tahoma" w:hAnsi="Tahoma" w:cs="Tahoma"/>
          <w:sz w:val="21"/>
          <w:szCs w:val="21"/>
          <w:lang w:val="uk-UA"/>
        </w:rPr>
        <w:t>:</w:t>
      </w:r>
    </w:p>
    <w:p w:rsidR="00E8478B" w:rsidRPr="000D2D47" w:rsidRDefault="00314415" w:rsidP="00E05A7E">
      <w:pPr>
        <w:jc w:val="both"/>
        <w:rPr>
          <w:rFonts w:ascii="Tahoma" w:hAnsi="Tahoma" w:cs="Tahoma"/>
          <w:color w:val="000000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«</w:t>
      </w:r>
      <w:r w:rsidR="00573C58">
        <w:rPr>
          <w:rFonts w:ascii="Tahoma" w:hAnsi="Tahoma" w:cs="Tahoma"/>
          <w:sz w:val="21"/>
          <w:szCs w:val="21"/>
          <w:lang w:val="uk-UA"/>
        </w:rPr>
        <w:t>03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» </w:t>
      </w:r>
      <w:r w:rsidR="00573C58">
        <w:rPr>
          <w:rFonts w:ascii="Tahoma" w:hAnsi="Tahoma" w:cs="Tahoma"/>
          <w:sz w:val="21"/>
          <w:szCs w:val="21"/>
          <w:lang w:val="uk-UA"/>
        </w:rPr>
        <w:t>листопада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 201</w:t>
      </w:r>
      <w:r w:rsidR="0091435D">
        <w:rPr>
          <w:rFonts w:ascii="Tahoma" w:hAnsi="Tahoma" w:cs="Tahoma"/>
          <w:sz w:val="21"/>
          <w:szCs w:val="21"/>
          <w:lang w:val="uk-UA"/>
        </w:rPr>
        <w:t>6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 року, о 1</w:t>
      </w:r>
      <w:r w:rsidR="00703AF8">
        <w:rPr>
          <w:rFonts w:ascii="Tahoma" w:hAnsi="Tahoma" w:cs="Tahoma"/>
          <w:sz w:val="21"/>
          <w:szCs w:val="21"/>
          <w:lang w:val="uk-UA"/>
        </w:rPr>
        <w:t>6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 год. 00 хв.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>за київським часом</w:t>
      </w:r>
      <w:r w:rsidR="00E8478B" w:rsidRPr="000D2D47">
        <w:rPr>
          <w:rFonts w:ascii="Tahoma" w:hAnsi="Tahoma" w:cs="Tahoma"/>
          <w:color w:val="000000"/>
          <w:sz w:val="21"/>
          <w:szCs w:val="21"/>
          <w:lang w:val="uk-UA"/>
        </w:rPr>
        <w:t xml:space="preserve"> за адресою:  </w:t>
      </w:r>
      <w:r w:rsidR="00E8478B"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Україна,  04080,</w:t>
      </w:r>
      <w:r w:rsidR="007D31BD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м. Київ, вул. </w:t>
      </w:r>
      <w:proofErr w:type="spellStart"/>
      <w:r w:rsidR="007D31BD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Межигірська</w:t>
      </w:r>
      <w:proofErr w:type="spellEnd"/>
      <w:r w:rsidR="007D31BD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, 87-А</w:t>
      </w:r>
      <w:r w:rsidR="00E8478B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.</w:t>
      </w:r>
    </w:p>
    <w:p w:rsidR="00E8478B" w:rsidRPr="000D2D47" w:rsidRDefault="00E8478B" w:rsidP="00887586">
      <w:pPr>
        <w:ind w:firstLine="426"/>
        <w:jc w:val="both"/>
        <w:rPr>
          <w:rFonts w:ascii="Tahoma" w:hAnsi="Tahoma" w:cs="Tahoma"/>
          <w:color w:val="000000"/>
          <w:spacing w:val="-4"/>
          <w:sz w:val="21"/>
          <w:szCs w:val="21"/>
          <w:highlight w:val="yellow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До участі у процедурі розкриття тендерних пропозицій запрошуються всі учасники, які подали тендерні пропозиції, або їх уповноважені представники</w:t>
      </w:r>
      <w:r w:rsidR="001560BE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 (при собі мати документи, що посвідчують повноваження та особу)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. Відсутність учасника або його уповноваженого представника під час процедури розкриття тендерних пропозицій не є підставою для відмови в розкритті чи розгляді тендерної пропозиції.</w:t>
      </w:r>
    </w:p>
    <w:p w:rsidR="00E8478B" w:rsidRPr="000D2D47" w:rsidRDefault="00E8478B" w:rsidP="00887586">
      <w:pPr>
        <w:ind w:firstLine="426"/>
        <w:jc w:val="both"/>
        <w:rPr>
          <w:rFonts w:ascii="Tahoma" w:hAnsi="Tahoma" w:cs="Tahoma"/>
          <w:color w:val="000000"/>
          <w:spacing w:val="-4"/>
          <w:sz w:val="21"/>
          <w:szCs w:val="21"/>
          <w:highlight w:val="yellow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Найбільш вигідна тендерна пропозиція визначається Комітетом із затвердження закупівлі Мережі серед тендерних пропозицій, які відповідають умовам цього Оголошення та умовам Тендерної пропозиції, згідно кри</w:t>
      </w:r>
      <w:r w:rsidR="00F974ED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теріїв оцінки, які зазначені у т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ендерній пропозиції. </w:t>
      </w:r>
    </w:p>
    <w:p w:rsidR="00E8478B" w:rsidRPr="000D2D47" w:rsidRDefault="00E8478B" w:rsidP="00887586">
      <w:pPr>
        <w:ind w:firstLine="426"/>
        <w:jc w:val="both"/>
        <w:rPr>
          <w:rFonts w:ascii="Tahoma" w:hAnsi="Tahoma" w:cs="Tahoma"/>
          <w:color w:val="000000"/>
          <w:spacing w:val="-4"/>
          <w:sz w:val="21"/>
          <w:szCs w:val="21"/>
          <w:highlight w:val="yellow"/>
          <w:lang w:val="uk-UA"/>
        </w:rPr>
      </w:pPr>
    </w:p>
    <w:p w:rsidR="00703AF8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Результати процедури закупівлі буде повідомлено всім учасникам не пізніше 5 (п’яти) </w:t>
      </w:r>
      <w:r w:rsidR="00154E55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робочих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днів з дати прийняття рішення про визначення переможця шляхом оприлюднення на веб-сайті Мережі </w:t>
      </w:r>
      <w:hyperlink r:id="rId10" w:history="1">
        <w:r w:rsidRPr="000D2D47">
          <w:rPr>
            <w:rStyle w:val="a3"/>
            <w:rFonts w:ascii="Tahoma" w:hAnsi="Tahoma" w:cs="Tahoma"/>
            <w:spacing w:val="-4"/>
            <w:sz w:val="21"/>
            <w:szCs w:val="21"/>
            <w:lang w:val="uk-UA"/>
          </w:rPr>
          <w:t>www.network.org.ua</w:t>
        </w:r>
      </w:hyperlink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 та шляхом надсилання відповідних повідомлень учасникам тендеру поштою або електронною поштою. </w:t>
      </w:r>
    </w:p>
    <w:p w:rsidR="00703AF8" w:rsidRDefault="00703AF8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Переможцю процедури закупівлі упродовж 3 (трьох) </w:t>
      </w:r>
      <w:r w:rsidR="00154E55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робочих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F772B" w:rsidRPr="000D2D47" w:rsidRDefault="004F772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</w:p>
    <w:p w:rsidR="00962A97" w:rsidRPr="000D2D47" w:rsidRDefault="00962A97" w:rsidP="00962A97">
      <w:pPr>
        <w:jc w:val="both"/>
        <w:rPr>
          <w:rFonts w:ascii="Tahoma" w:hAnsi="Tahoma" w:cs="Tahoma"/>
          <w:b/>
          <w:color w:val="000000"/>
          <w:spacing w:val="-4"/>
          <w:sz w:val="21"/>
          <w:szCs w:val="21"/>
          <w:lang w:val="uk-UA"/>
        </w:rPr>
      </w:pPr>
    </w:p>
    <w:p w:rsidR="00962A97" w:rsidRPr="000D2D47" w:rsidRDefault="00962A97" w:rsidP="00962A97">
      <w:pPr>
        <w:rPr>
          <w:rFonts w:ascii="Tahoma" w:hAnsi="Tahoma" w:cs="Tahoma"/>
          <w:b/>
          <w:sz w:val="21"/>
          <w:szCs w:val="21"/>
          <w:lang w:val="uk-UA"/>
        </w:rPr>
      </w:pPr>
    </w:p>
    <w:sectPr w:rsidR="00962A97" w:rsidRPr="000D2D47" w:rsidSect="00A76F74">
      <w:footerReference w:type="default" r:id="rId11"/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1F" w:rsidRDefault="00A1211F" w:rsidP="00E8478B">
      <w:r>
        <w:separator/>
      </w:r>
    </w:p>
  </w:endnote>
  <w:endnote w:type="continuationSeparator" w:id="0">
    <w:p w:rsidR="00A1211F" w:rsidRDefault="00A1211F" w:rsidP="00E8478B">
      <w:r>
        <w:continuationSeparator/>
      </w:r>
    </w:p>
  </w:endnote>
  <w:endnote w:id="1">
    <w:p w:rsidR="0096138B" w:rsidRPr="00D90252" w:rsidRDefault="0096138B" w:rsidP="0096138B">
      <w:pPr>
        <w:pStyle w:val="a5"/>
        <w:rPr>
          <w:lang w:val="uk-UA"/>
        </w:rPr>
      </w:pPr>
    </w:p>
  </w:endnote>
  <w:endnote w:id="2">
    <w:p w:rsidR="0096138B" w:rsidRPr="00F60F97" w:rsidRDefault="0096138B" w:rsidP="0096138B">
      <w:pPr>
        <w:pStyle w:val="a5"/>
        <w:rPr>
          <w:lang w:val="uk-UA"/>
        </w:rPr>
      </w:pPr>
    </w:p>
  </w:endnote>
  <w:endnote w:id="3">
    <w:p w:rsidR="0096138B" w:rsidRPr="00E61511" w:rsidRDefault="0096138B" w:rsidP="0096138B">
      <w:pPr>
        <w:pStyle w:val="a5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7783009"/>
      <w:docPartObj>
        <w:docPartGallery w:val="Page Numbers (Bottom of Page)"/>
        <w:docPartUnique/>
      </w:docPartObj>
    </w:sdtPr>
    <w:sdtEndPr/>
    <w:sdtContent>
      <w:p w:rsidR="004D049E" w:rsidRDefault="004D049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BAC">
          <w:rPr>
            <w:noProof/>
          </w:rPr>
          <w:t>3</w:t>
        </w:r>
        <w:r>
          <w:fldChar w:fldCharType="end"/>
        </w:r>
      </w:p>
    </w:sdtContent>
  </w:sdt>
  <w:p w:rsidR="004D049E" w:rsidRDefault="004D049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1F" w:rsidRDefault="00A1211F" w:rsidP="00E8478B">
      <w:r>
        <w:separator/>
      </w:r>
    </w:p>
  </w:footnote>
  <w:footnote w:type="continuationSeparator" w:id="0">
    <w:p w:rsidR="00A1211F" w:rsidRDefault="00A1211F" w:rsidP="00E8478B">
      <w:r>
        <w:continuationSeparator/>
      </w:r>
    </w:p>
  </w:footnote>
  <w:footnote w:id="1">
    <w:p w:rsidR="0040076E" w:rsidRPr="00577E38" w:rsidRDefault="0040076E" w:rsidP="0040076E">
      <w:pPr>
        <w:pStyle w:val="af1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>
        <w:rPr>
          <w:lang w:val="uk-UA"/>
        </w:rPr>
        <w:t>Термін надання послуг може змінюватись в залежності від конкретних обставин судової справи. У випадку змін термінів надання послуг, вони будуть оформлені додатковою угодою до договору про надання послуг.</w:t>
      </w:r>
    </w:p>
  </w:footnote>
  <w:footnote w:id="2">
    <w:p w:rsidR="0040076E" w:rsidRPr="00870021" w:rsidRDefault="0040076E">
      <w:pPr>
        <w:pStyle w:val="af1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>
        <w:rPr>
          <w:lang w:val="uk-UA"/>
        </w:rPr>
        <w:t xml:space="preserve">Актуальна вартість послуг вартість послуг може бути меншою, в залежності від погодинного </w:t>
      </w:r>
      <w:proofErr w:type="spellStart"/>
      <w:r>
        <w:rPr>
          <w:lang w:val="uk-UA"/>
        </w:rPr>
        <w:t>біллінгу</w:t>
      </w:r>
      <w:proofErr w:type="spellEnd"/>
      <w:r>
        <w:rPr>
          <w:lang w:val="uk-UA"/>
        </w:rPr>
        <w:t xml:space="preserve">, однак актуальна вартість не повинна перевищувати максимальної вартості послуг.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C16"/>
    <w:multiLevelType w:val="hybridMultilevel"/>
    <w:tmpl w:val="71066D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F20F9"/>
    <w:multiLevelType w:val="hybridMultilevel"/>
    <w:tmpl w:val="0FF805DC"/>
    <w:lvl w:ilvl="0" w:tplc="1068E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2304C"/>
    <w:multiLevelType w:val="hybridMultilevel"/>
    <w:tmpl w:val="3E70C892"/>
    <w:lvl w:ilvl="0" w:tplc="A15E3EB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2" w:tplc="171A9EB8">
      <w:numFmt w:val="bullet"/>
      <w:lvlText w:val="-"/>
      <w:lvlJc w:val="left"/>
      <w:pPr>
        <w:ind w:left="2155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E9451E3"/>
    <w:multiLevelType w:val="hybridMultilevel"/>
    <w:tmpl w:val="7D8A72E4"/>
    <w:lvl w:ilvl="0" w:tplc="0422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215500E0"/>
    <w:multiLevelType w:val="multilevel"/>
    <w:tmpl w:val="FD72A1B0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6">
    <w:nsid w:val="226E1217"/>
    <w:multiLevelType w:val="hybridMultilevel"/>
    <w:tmpl w:val="3FDAE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84AFB"/>
    <w:multiLevelType w:val="hybridMultilevel"/>
    <w:tmpl w:val="7870D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E18E9"/>
    <w:multiLevelType w:val="hybridMultilevel"/>
    <w:tmpl w:val="119284DA"/>
    <w:lvl w:ilvl="0" w:tplc="8332BE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125C8"/>
    <w:multiLevelType w:val="hybridMultilevel"/>
    <w:tmpl w:val="E448460E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0D17C5E"/>
    <w:multiLevelType w:val="hybridMultilevel"/>
    <w:tmpl w:val="749E73D4"/>
    <w:lvl w:ilvl="0" w:tplc="FE5E1574">
      <w:start w:val="1"/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7F45317"/>
    <w:multiLevelType w:val="hybridMultilevel"/>
    <w:tmpl w:val="D7D0C5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9191D"/>
    <w:multiLevelType w:val="hybridMultilevel"/>
    <w:tmpl w:val="5156C42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3266DA4"/>
    <w:multiLevelType w:val="hybridMultilevel"/>
    <w:tmpl w:val="10F6FE2C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E00E30"/>
    <w:multiLevelType w:val="hybridMultilevel"/>
    <w:tmpl w:val="F6E0A358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405316"/>
    <w:multiLevelType w:val="hybridMultilevel"/>
    <w:tmpl w:val="726632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F4219"/>
    <w:multiLevelType w:val="hybridMultilevel"/>
    <w:tmpl w:val="FE0A5BB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13"/>
  </w:num>
  <w:num w:numId="7">
    <w:abstractNumId w:val="0"/>
  </w:num>
  <w:num w:numId="8">
    <w:abstractNumId w:val="5"/>
  </w:num>
  <w:num w:numId="9">
    <w:abstractNumId w:val="14"/>
  </w:num>
  <w:num w:numId="10">
    <w:abstractNumId w:val="10"/>
  </w:num>
  <w:num w:numId="11">
    <w:abstractNumId w:val="3"/>
  </w:num>
  <w:num w:numId="12">
    <w:abstractNumId w:val="12"/>
  </w:num>
  <w:num w:numId="13">
    <w:abstractNumId w:val="16"/>
  </w:num>
  <w:num w:numId="14">
    <w:abstractNumId w:val="11"/>
  </w:num>
  <w:num w:numId="15">
    <w:abstractNumId w:val="4"/>
  </w:num>
  <w:num w:numId="16">
    <w:abstractNumId w:val="15"/>
  </w:num>
  <w:num w:numId="17">
    <w:abstractNumId w:val="2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8B"/>
    <w:rsid w:val="0003157D"/>
    <w:rsid w:val="000535FD"/>
    <w:rsid w:val="0008371B"/>
    <w:rsid w:val="000A5022"/>
    <w:rsid w:val="000B75F3"/>
    <w:rsid w:val="000D2D47"/>
    <w:rsid w:val="000E4526"/>
    <w:rsid w:val="00101646"/>
    <w:rsid w:val="001405E6"/>
    <w:rsid w:val="00140931"/>
    <w:rsid w:val="00147C1B"/>
    <w:rsid w:val="00154E55"/>
    <w:rsid w:val="001560BE"/>
    <w:rsid w:val="0015728A"/>
    <w:rsid w:val="001D646F"/>
    <w:rsid w:val="001E394E"/>
    <w:rsid w:val="0024589B"/>
    <w:rsid w:val="00252A7F"/>
    <w:rsid w:val="00253BAC"/>
    <w:rsid w:val="00255726"/>
    <w:rsid w:val="002A19CA"/>
    <w:rsid w:val="002A71CF"/>
    <w:rsid w:val="002B08D9"/>
    <w:rsid w:val="002C02C1"/>
    <w:rsid w:val="002C2D44"/>
    <w:rsid w:val="00313BAD"/>
    <w:rsid w:val="00314415"/>
    <w:rsid w:val="00317A54"/>
    <w:rsid w:val="00320D30"/>
    <w:rsid w:val="003226D0"/>
    <w:rsid w:val="00327E55"/>
    <w:rsid w:val="00361E00"/>
    <w:rsid w:val="0037655C"/>
    <w:rsid w:val="00385C20"/>
    <w:rsid w:val="003A060E"/>
    <w:rsid w:val="003D01B4"/>
    <w:rsid w:val="003F1DC1"/>
    <w:rsid w:val="003F5B4B"/>
    <w:rsid w:val="0040076E"/>
    <w:rsid w:val="00410713"/>
    <w:rsid w:val="00440E52"/>
    <w:rsid w:val="00453B29"/>
    <w:rsid w:val="00465F3F"/>
    <w:rsid w:val="00473A5E"/>
    <w:rsid w:val="004779B4"/>
    <w:rsid w:val="004D049E"/>
    <w:rsid w:val="004D0803"/>
    <w:rsid w:val="004F772B"/>
    <w:rsid w:val="00503E1C"/>
    <w:rsid w:val="00517F0B"/>
    <w:rsid w:val="00520E57"/>
    <w:rsid w:val="00522C62"/>
    <w:rsid w:val="00534D2B"/>
    <w:rsid w:val="00542C1B"/>
    <w:rsid w:val="00544CE7"/>
    <w:rsid w:val="00571179"/>
    <w:rsid w:val="00573C58"/>
    <w:rsid w:val="00576756"/>
    <w:rsid w:val="00580B8B"/>
    <w:rsid w:val="005A0C15"/>
    <w:rsid w:val="005B3679"/>
    <w:rsid w:val="005C6469"/>
    <w:rsid w:val="005D7CD5"/>
    <w:rsid w:val="00602C48"/>
    <w:rsid w:val="00604D73"/>
    <w:rsid w:val="006132B4"/>
    <w:rsid w:val="0061412E"/>
    <w:rsid w:val="00655228"/>
    <w:rsid w:val="00677EDF"/>
    <w:rsid w:val="006C1A4B"/>
    <w:rsid w:val="006C59A2"/>
    <w:rsid w:val="006F06F8"/>
    <w:rsid w:val="006F6010"/>
    <w:rsid w:val="00703AF8"/>
    <w:rsid w:val="0073548B"/>
    <w:rsid w:val="00767495"/>
    <w:rsid w:val="00796120"/>
    <w:rsid w:val="007B2C5C"/>
    <w:rsid w:val="007B4F0B"/>
    <w:rsid w:val="007B78BA"/>
    <w:rsid w:val="007D26D1"/>
    <w:rsid w:val="007D31BD"/>
    <w:rsid w:val="007F1FDA"/>
    <w:rsid w:val="0081241F"/>
    <w:rsid w:val="00826E5A"/>
    <w:rsid w:val="008513D3"/>
    <w:rsid w:val="0085627D"/>
    <w:rsid w:val="00863D0B"/>
    <w:rsid w:val="00874D23"/>
    <w:rsid w:val="00882595"/>
    <w:rsid w:val="0088735D"/>
    <w:rsid w:val="00887586"/>
    <w:rsid w:val="0089536A"/>
    <w:rsid w:val="008A7306"/>
    <w:rsid w:val="008C4C15"/>
    <w:rsid w:val="008E15F7"/>
    <w:rsid w:val="008E6C14"/>
    <w:rsid w:val="00903CD9"/>
    <w:rsid w:val="0091435D"/>
    <w:rsid w:val="0092575B"/>
    <w:rsid w:val="00930EBE"/>
    <w:rsid w:val="00931796"/>
    <w:rsid w:val="0096138B"/>
    <w:rsid w:val="00962A97"/>
    <w:rsid w:val="00997951"/>
    <w:rsid w:val="009A1479"/>
    <w:rsid w:val="009B2598"/>
    <w:rsid w:val="009D42D5"/>
    <w:rsid w:val="009D7EDB"/>
    <w:rsid w:val="009E6F64"/>
    <w:rsid w:val="00A1211F"/>
    <w:rsid w:val="00A13DA1"/>
    <w:rsid w:val="00A53A57"/>
    <w:rsid w:val="00A76F74"/>
    <w:rsid w:val="00A87014"/>
    <w:rsid w:val="00A94602"/>
    <w:rsid w:val="00AA082B"/>
    <w:rsid w:val="00AA6E5E"/>
    <w:rsid w:val="00AB5628"/>
    <w:rsid w:val="00AD38D7"/>
    <w:rsid w:val="00B70250"/>
    <w:rsid w:val="00B86242"/>
    <w:rsid w:val="00B96CE5"/>
    <w:rsid w:val="00BA02A8"/>
    <w:rsid w:val="00BB7D38"/>
    <w:rsid w:val="00BC0287"/>
    <w:rsid w:val="00BE4D31"/>
    <w:rsid w:val="00BF03C7"/>
    <w:rsid w:val="00BF5370"/>
    <w:rsid w:val="00C01EDC"/>
    <w:rsid w:val="00C02C1B"/>
    <w:rsid w:val="00C06CA5"/>
    <w:rsid w:val="00C17D57"/>
    <w:rsid w:val="00C21226"/>
    <w:rsid w:val="00C238BB"/>
    <w:rsid w:val="00C2792C"/>
    <w:rsid w:val="00C5295E"/>
    <w:rsid w:val="00C65544"/>
    <w:rsid w:val="00C74FD5"/>
    <w:rsid w:val="00C75075"/>
    <w:rsid w:val="00C829C4"/>
    <w:rsid w:val="00C90FD1"/>
    <w:rsid w:val="00C9192E"/>
    <w:rsid w:val="00CA6E9B"/>
    <w:rsid w:val="00CA7A9E"/>
    <w:rsid w:val="00CD4504"/>
    <w:rsid w:val="00CD64BC"/>
    <w:rsid w:val="00CE07A2"/>
    <w:rsid w:val="00CE2626"/>
    <w:rsid w:val="00D149CD"/>
    <w:rsid w:val="00D55CF0"/>
    <w:rsid w:val="00D7608A"/>
    <w:rsid w:val="00D93C32"/>
    <w:rsid w:val="00D97F26"/>
    <w:rsid w:val="00DC308E"/>
    <w:rsid w:val="00DE3C06"/>
    <w:rsid w:val="00DF1C87"/>
    <w:rsid w:val="00E05A7E"/>
    <w:rsid w:val="00E13604"/>
    <w:rsid w:val="00E33C1B"/>
    <w:rsid w:val="00E36889"/>
    <w:rsid w:val="00E37B08"/>
    <w:rsid w:val="00E55A78"/>
    <w:rsid w:val="00E64B09"/>
    <w:rsid w:val="00E6641F"/>
    <w:rsid w:val="00E8241C"/>
    <w:rsid w:val="00E8478B"/>
    <w:rsid w:val="00EC3F11"/>
    <w:rsid w:val="00EF43B2"/>
    <w:rsid w:val="00F01090"/>
    <w:rsid w:val="00F1630E"/>
    <w:rsid w:val="00F35644"/>
    <w:rsid w:val="00F7593D"/>
    <w:rsid w:val="00F86E45"/>
    <w:rsid w:val="00F87BA9"/>
    <w:rsid w:val="00F90960"/>
    <w:rsid w:val="00F974ED"/>
    <w:rsid w:val="00FA07AD"/>
    <w:rsid w:val="00FA5A91"/>
    <w:rsid w:val="00FB5A2D"/>
    <w:rsid w:val="00FC15F3"/>
    <w:rsid w:val="00FC7CE0"/>
    <w:rsid w:val="00FD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73C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8478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E847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endnote text"/>
    <w:basedOn w:val="a"/>
    <w:link w:val="a6"/>
    <w:uiPriority w:val="99"/>
    <w:unhideWhenUsed/>
    <w:rsid w:val="00E8478B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E847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E8478B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8">
    <w:name w:val="endnote reference"/>
    <w:uiPriority w:val="99"/>
    <w:unhideWhenUsed/>
    <w:rsid w:val="00E8478B"/>
    <w:rPr>
      <w:vertAlign w:val="superscript"/>
    </w:rPr>
  </w:style>
  <w:style w:type="paragraph" w:styleId="a9">
    <w:name w:val="Body Text"/>
    <w:basedOn w:val="a"/>
    <w:link w:val="aa"/>
    <w:rsid w:val="00604D73"/>
    <w:pPr>
      <w:spacing w:after="120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a">
    <w:name w:val="Основной текст Знак"/>
    <w:basedOn w:val="a0"/>
    <w:link w:val="a9"/>
    <w:rsid w:val="00604D73"/>
    <w:rPr>
      <w:rFonts w:ascii="Calibri" w:eastAsia="Calibri" w:hAnsi="Calibri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1405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5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40076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007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40076E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73C58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73C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8478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E847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endnote text"/>
    <w:basedOn w:val="a"/>
    <w:link w:val="a6"/>
    <w:uiPriority w:val="99"/>
    <w:unhideWhenUsed/>
    <w:rsid w:val="00E8478B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E847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E8478B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8">
    <w:name w:val="endnote reference"/>
    <w:uiPriority w:val="99"/>
    <w:unhideWhenUsed/>
    <w:rsid w:val="00E8478B"/>
    <w:rPr>
      <w:vertAlign w:val="superscript"/>
    </w:rPr>
  </w:style>
  <w:style w:type="paragraph" w:styleId="a9">
    <w:name w:val="Body Text"/>
    <w:basedOn w:val="a"/>
    <w:link w:val="aa"/>
    <w:rsid w:val="00604D73"/>
    <w:pPr>
      <w:spacing w:after="120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a">
    <w:name w:val="Основной текст Знак"/>
    <w:basedOn w:val="a0"/>
    <w:link w:val="a9"/>
    <w:rsid w:val="00604D73"/>
    <w:rPr>
      <w:rFonts w:ascii="Calibri" w:eastAsia="Calibri" w:hAnsi="Calibri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1405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5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40076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007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40076E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73C58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2948E-154F-4955-8949-D8AC0D80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7033</Words>
  <Characters>4010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5</cp:revision>
  <cp:lastPrinted>2014-11-27T10:23:00Z</cp:lastPrinted>
  <dcterms:created xsi:type="dcterms:W3CDTF">2016-10-20T07:14:00Z</dcterms:created>
  <dcterms:modified xsi:type="dcterms:W3CDTF">2016-10-20T07:42:00Z</dcterms:modified>
</cp:coreProperties>
</file>