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81" w:rsidRPr="000742B2" w:rsidRDefault="00F356D7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  <w:r w:rsidRPr="004245EC">
        <w:rPr>
          <w:rFonts w:ascii="Tahoma" w:hAnsi="Tahoma" w:cs="Tahoma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467C0879" wp14:editId="1F5DD5F0">
            <wp:simplePos x="0" y="0"/>
            <wp:positionH relativeFrom="column">
              <wp:posOffset>-14605</wp:posOffset>
            </wp:positionH>
            <wp:positionV relativeFrom="paragraph">
              <wp:posOffset>57150</wp:posOffset>
            </wp:positionV>
            <wp:extent cx="636524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527" y="2145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59A1" w:rsidRPr="000742B2" w:rsidRDefault="001F25D4" w:rsidP="001B59A1">
      <w:pPr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F356D7">
        <w:rPr>
          <w:rFonts w:ascii="Tahoma" w:hAnsi="Tahoma" w:cs="Tahoma"/>
          <w:sz w:val="20"/>
          <w:szCs w:val="20"/>
          <w:lang w:val="uk-UA"/>
        </w:rPr>
        <w:t>11</w:t>
      </w:r>
      <w:r w:rsidR="00D35821" w:rsidRPr="000742B2">
        <w:rPr>
          <w:rFonts w:ascii="Tahoma" w:hAnsi="Tahoma" w:cs="Tahoma"/>
          <w:sz w:val="20"/>
          <w:szCs w:val="20"/>
          <w:lang w:val="uk-UA"/>
        </w:rPr>
        <w:t>»</w:t>
      </w:r>
      <w:r w:rsidR="00F8061A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sz w:val="20"/>
          <w:szCs w:val="20"/>
          <w:lang w:val="uk-UA"/>
        </w:rPr>
        <w:t>липня</w:t>
      </w:r>
      <w:r w:rsidR="000742B2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201</w:t>
      </w:r>
      <w:r w:rsidR="00D960FB" w:rsidRPr="000742B2">
        <w:rPr>
          <w:rFonts w:ascii="Tahoma" w:hAnsi="Tahoma" w:cs="Tahoma"/>
          <w:sz w:val="20"/>
          <w:szCs w:val="20"/>
          <w:lang w:val="uk-UA"/>
        </w:rPr>
        <w:t>6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403CAD" w:rsidRPr="000742B2" w:rsidRDefault="00403CAD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</w:p>
    <w:p w:rsidR="001B59A1" w:rsidRPr="000742B2" w:rsidRDefault="001B59A1" w:rsidP="001B59A1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 xml:space="preserve">ОГОЛОШЕННЯ 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>(далі – «Оголошення»)</w:t>
      </w:r>
    </w:p>
    <w:p w:rsidR="001B59A1" w:rsidRPr="000742B2" w:rsidRDefault="001B59A1" w:rsidP="001B59A1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0742B2" w:rsidRDefault="001B59A1" w:rsidP="00AE687E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Всеукраїнська благодійна організація "Всеукраїнська мережа людей, які живуть з ВІЛ/СНІД" (далі – </w:t>
      </w:r>
      <w:r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94295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</w:t>
      </w:r>
      <w:r w:rsidR="004E6C2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0742B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комп’ютерної техніки. </w:t>
      </w:r>
    </w:p>
    <w:p w:rsidR="00C40EC8" w:rsidRPr="000742B2" w:rsidRDefault="00C40EC8" w:rsidP="00AE687E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7F3F66" w:rsidRPr="000742B2" w:rsidRDefault="00BD0785" w:rsidP="000742B2">
      <w:pPr>
        <w:pStyle w:val="ab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Предмет закупівлі</w:t>
      </w:r>
      <w:r w:rsidR="00691FF3"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:</w:t>
      </w:r>
      <w:r w:rsidR="00691FF3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2237"/>
        <w:gridCol w:w="872"/>
        <w:gridCol w:w="6182"/>
      </w:tblGrid>
      <w:tr w:rsidR="000742B2" w:rsidRPr="000742B2" w:rsidTr="00D740A9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№ лота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Обов‘язкові мінімальні  технічні характеристики до предмету закупівлі</w:t>
            </w:r>
          </w:p>
        </w:tc>
      </w:tr>
      <w:tr w:rsidR="000742B2" w:rsidRPr="00F356D7" w:rsidTr="00D740A9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2B2" w:rsidRPr="000742B2" w:rsidRDefault="000742B2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0742B2" w:rsidP="00D740A9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(без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F356D7" w:rsidP="00D740A9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0742B2" w:rsidP="00D740A9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Чіпсет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материнської плати: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Core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i5;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оперативної пам'яті: 8Гб;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Графічний адаптер: Інтегрований,  Дискретний  до 2Гб;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накопичувача: HDD від 500ГБ+SSD120Гб;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Блок живлення: від 500Вт.</w:t>
            </w:r>
          </w:p>
        </w:tc>
      </w:tr>
      <w:tr w:rsidR="00F356D7" w:rsidRPr="00F356D7" w:rsidTr="00D740A9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6D7" w:rsidRPr="000742B2" w:rsidRDefault="00F356D7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356D7" w:rsidP="00967FA5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Чіпсет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материнської плати: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Core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i5;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оперативної пам'яті: 8Гб;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Графічний адаптер: Інтегрований,  Дискретний  до 2Гб;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накопичувача: HDD від 500ГБ+SSD120Гб;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Блок живлення: від 500Вт.</w:t>
            </w:r>
          </w:p>
        </w:tc>
      </w:tr>
      <w:tr w:rsidR="00F356D7" w:rsidRPr="00F356D7" w:rsidTr="00D740A9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6D7" w:rsidRPr="000742B2" w:rsidRDefault="00F356D7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411B93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Оф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існий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телефонний апарат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Default="00F356D7" w:rsidP="00967FA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411B93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Тип трубки: П</w:t>
            </w: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ровідний;</w:t>
            </w:r>
          </w:p>
          <w:p w:rsidR="00F356D7" w:rsidRPr="00411B93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Тип радіозв’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язку: А</w:t>
            </w: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налоговий;</w:t>
            </w:r>
          </w:p>
          <w:p w:rsidR="00F356D7" w:rsidRPr="00411B93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Визначник номера: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ідсутній;</w:t>
            </w:r>
          </w:p>
          <w:p w:rsidR="00F356D7" w:rsidRPr="00411B93" w:rsidRDefault="00F356D7" w:rsidP="00967FA5">
            <w:pPr>
              <w:rPr>
                <w:rFonts w:ascii="Arial" w:hAnsi="Arial" w:cs="Arial"/>
                <w:color w:val="000000"/>
                <w:sz w:val="20"/>
                <w:szCs w:val="20"/>
                <w:lang w:val="uk-UA" w:eastAsia="ko-KR"/>
              </w:rPr>
            </w:pP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Автовідповідач: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Pr="00411B93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ідсутній.</w:t>
            </w:r>
          </w:p>
        </w:tc>
      </w:tr>
    </w:tbl>
    <w:p w:rsidR="000742B2" w:rsidRDefault="000742B2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356D7" w:rsidRPr="000742B2" w:rsidRDefault="00F356D7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D960FB" w:rsidRPr="000742B2" w:rsidRDefault="00076D81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3. 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Термін надання послуг</w:t>
      </w:r>
      <w:r w:rsidR="00BD0785" w:rsidRPr="000742B2">
        <w:rPr>
          <w:rFonts w:ascii="Tahoma" w:hAnsi="Tahoma" w:cs="Tahoma"/>
          <w:b/>
          <w:bCs/>
          <w:sz w:val="20"/>
          <w:szCs w:val="20"/>
          <w:lang w:val="uk-UA"/>
        </w:rPr>
        <w:t>/виконання робіт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:</w:t>
      </w:r>
      <w:r w:rsidR="00F8061A"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F356D7" w:rsidRPr="00F356D7">
        <w:rPr>
          <w:rFonts w:ascii="Tahoma" w:hAnsi="Tahoma" w:cs="Tahoma"/>
          <w:sz w:val="21"/>
          <w:szCs w:val="21"/>
          <w:lang w:val="uk-UA"/>
        </w:rPr>
        <w:t>липень - серпень 2016 року</w:t>
      </w:r>
      <w:r w:rsidR="000742B2" w:rsidRPr="000742B2">
        <w:rPr>
          <w:rFonts w:ascii="Tahoma" w:hAnsi="Tahoma" w:cs="Tahoma"/>
          <w:sz w:val="21"/>
          <w:szCs w:val="21"/>
          <w:lang w:val="uk-UA"/>
        </w:rPr>
        <w:t>.</w:t>
      </w:r>
    </w:p>
    <w:p w:rsidR="00D960FB" w:rsidRPr="000742B2" w:rsidRDefault="00D960FB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</w:p>
    <w:p w:rsidR="000742B2" w:rsidRDefault="00076D81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 xml:space="preserve">4. </w:t>
      </w:r>
      <w:r w:rsidR="001B59A1" w:rsidRPr="000742B2">
        <w:rPr>
          <w:rFonts w:ascii="Tahoma" w:hAnsi="Tahoma" w:cs="Tahoma"/>
          <w:sz w:val="21"/>
          <w:szCs w:val="21"/>
          <w:lang w:val="uk-UA"/>
        </w:rPr>
        <w:t>Очікуваний результат:</w:t>
      </w:r>
      <w:r w:rsid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укладання угоди на поставку комп’ютерної техніки.</w:t>
      </w:r>
    </w:p>
    <w:p w:rsidR="00D960FB" w:rsidRPr="000742B2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</w:p>
    <w:p w:rsidR="00120505" w:rsidRDefault="00076D81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5. </w:t>
      </w:r>
      <w:r w:rsidR="00D0269D" w:rsidRPr="000742B2">
        <w:rPr>
          <w:rFonts w:ascii="Tahoma" w:hAnsi="Tahoma" w:cs="Tahoma"/>
          <w:b/>
          <w:sz w:val="20"/>
          <w:szCs w:val="20"/>
          <w:lang w:val="uk-UA"/>
        </w:rPr>
        <w:t>Обов’язкові технічні та кваліфікаційні вимоги до предмета закупівлі</w:t>
      </w:r>
      <w:r w:rsidR="00B419F4" w:rsidRPr="000742B2">
        <w:rPr>
          <w:rFonts w:ascii="Tahoma" w:hAnsi="Tahoma" w:cs="Tahoma"/>
          <w:b/>
          <w:sz w:val="20"/>
          <w:szCs w:val="20"/>
          <w:lang w:val="uk-UA"/>
        </w:rPr>
        <w:t>:</w:t>
      </w:r>
    </w:p>
    <w:p w:rsidR="000742B2" w:rsidRDefault="000742B2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3826"/>
      </w:tblGrid>
      <w:tr w:rsidR="000742B2" w:rsidRPr="00F356D7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№ п/</w:t>
            </w:r>
            <w:proofErr w:type="spellStart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Обов’язкові кваліфікаційні та технічні  вимоги до постачальника товарів або виконавця робіт та послуг</w:t>
            </w:r>
            <w:r w:rsidRPr="000742B2">
              <w:rPr>
                <w:rStyle w:val="af4"/>
                <w:rFonts w:ascii="Tahoma" w:eastAsia="Calibri" w:hAnsi="Tahoma" w:cs="Tahoma"/>
                <w:sz w:val="21"/>
                <w:szCs w:val="21"/>
                <w:vertAlign w:val="baseline"/>
                <w:lang w:val="uk-UA"/>
              </w:rPr>
              <w:endnoteReference w:id="1"/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Безготівковий розрахунок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Термін доставки всього товару, що є предметом закупівлі, протягом 5 (п’яти) календарних днів з дати здійснення оплати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Спроможність поставити усі запитувані позиції по лоту в повному та в обсязі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Умови розрахунків: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передоплата у розмірі 50% від вартості товарів;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ind w:left="269" w:right="127" w:firstLine="142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 xml:space="preserve"> остаточний розрахунок у розмірі 50% </w:t>
            </w: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lastRenderedPageBreak/>
              <w:t>протягом 5 (п’яти) робочих днів з дати підписання акту прийняття-передачі на весь обсяг товару, що є предметом закупівлі.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lastRenderedPageBreak/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lastRenderedPageBreak/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Гарантія на комплектуючи лоту 1</w:t>
            </w: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-2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не менше 12 місяців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EC572B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Гарантія на лот </w:t>
            </w: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3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 </w:t>
            </w:r>
            <w:bookmarkStart w:id="0" w:name="_GoBack"/>
            <w:bookmarkEnd w:id="0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не менше 12 місяців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Повна відповідність комп’ютерної техніки обов‘язковим мінімальним технічним характеристикам, визначеним Оголошенням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Підтвердження поінформованості про те, що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товар (ЛОТ 1)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буд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е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закуповуватись</w:t>
            </w:r>
            <w:proofErr w:type="spellEnd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 за рахунок грантів проектів, операції із використання коштів яких звільняються від ПДВ згідно з законодавством (див. пункт 9 розділу «Правила оформлення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ної пропозиції учасника» Оголошення). У зв’язку з чим, учасник 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конкурсу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погоджується співпрацювати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по поставці товару по ЛОТу1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без ПДВ (укладати договори та виставляти рахунки)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Право на здійснення підприємницької діяльності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Статуту і витягу з протоколу про призначення керівника (для юридичних осіб)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довідки з органів статистики.</w:t>
            </w:r>
          </w:p>
        </w:tc>
      </w:tr>
    </w:tbl>
    <w:p w:rsidR="0056486C" w:rsidRPr="000742B2" w:rsidRDefault="0056486C" w:rsidP="00682751">
      <w:pPr>
        <w:jc w:val="both"/>
        <w:rPr>
          <w:rFonts w:ascii="Calibri" w:hAnsi="Calibri" w:cs="Calibri"/>
          <w:b/>
          <w:color w:val="FF0000"/>
          <w:sz w:val="18"/>
          <w:szCs w:val="18"/>
          <w:lang w:val="uk-UA"/>
        </w:rPr>
      </w:pPr>
    </w:p>
    <w:p w:rsidR="0056486C" w:rsidRPr="000742B2" w:rsidRDefault="00D960FB" w:rsidP="0056486C">
      <w:pPr>
        <w:jc w:val="both"/>
        <w:rPr>
          <w:rFonts w:ascii="Calibri" w:hAnsi="Calibri" w:cs="Calibri"/>
          <w:b/>
          <w:color w:val="FF0000"/>
          <w:sz w:val="20"/>
          <w:szCs w:val="20"/>
          <w:lang w:val="uk-UA"/>
        </w:rPr>
      </w:pP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* До оцінювання згідно критеріям оцінки допускаються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ної пропозиції учасника 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 xml:space="preserve">призводить до автоматичної повної дискваліфікації такої </w:t>
      </w:r>
      <w:r w:rsidR="00F356D7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ної пропозиції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>.</w:t>
      </w:r>
    </w:p>
    <w:p w:rsidR="00D960FB" w:rsidRPr="000742B2" w:rsidRDefault="00D960FB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0742B2" w:rsidRDefault="00827675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6. 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 xml:space="preserve">Критерії оцінки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>них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58"/>
        <w:gridCol w:w="1583"/>
        <w:gridCol w:w="3793"/>
      </w:tblGrid>
      <w:tr w:rsidR="008E2AE5" w:rsidRPr="004245EC" w:rsidTr="00D740A9"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Критерій оцінки</w:t>
            </w:r>
            <w:r w:rsidRPr="004245EC">
              <w:rPr>
                <w:rStyle w:val="af4"/>
                <w:rFonts w:ascii="Tahoma" w:hAnsi="Tahoma" w:cs="Tahoma"/>
                <w:sz w:val="20"/>
                <w:szCs w:val="20"/>
                <w:lang w:val="uk-UA"/>
              </w:rPr>
              <w:endnoteReference w:id="2"/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8E2AE5" w:rsidRPr="004245EC" w:rsidTr="00D740A9">
        <w:trPr>
          <w:trHeight w:val="427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Вартість (грн./без ПДВ)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90 %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8E2AE5" w:rsidRPr="004245EC" w:rsidRDefault="00F356D7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="008E2AE5"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на пропозиція </w:t>
            </w:r>
          </w:p>
        </w:tc>
      </w:tr>
      <w:tr w:rsidR="008E2AE5" w:rsidRPr="004245EC" w:rsidTr="00D740A9">
        <w:trPr>
          <w:trHeight w:val="427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Технічні характеристики комп’ютерної техніки перевищують обов’язкові мінімальні технічні вимоги до предмету закупівлі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8E2AE5" w:rsidRPr="004245EC" w:rsidRDefault="00F356D7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="008E2AE5" w:rsidRPr="004245EC">
              <w:rPr>
                <w:rFonts w:ascii="Tahoma" w:hAnsi="Tahoma" w:cs="Tahoma"/>
                <w:sz w:val="20"/>
                <w:szCs w:val="20"/>
                <w:lang w:val="uk-UA"/>
              </w:rPr>
              <w:t>на пропозиція</w:t>
            </w:r>
          </w:p>
        </w:tc>
      </w:tr>
      <w:tr w:rsidR="008E2AE5" w:rsidRPr="004245EC" w:rsidTr="00D740A9">
        <w:trPr>
          <w:trHeight w:val="675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Досвід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праці компанії на ринку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Рекомендовані листи за останній рік, довідка про досвід роботи з контактними даними контрагентів.</w:t>
            </w:r>
          </w:p>
        </w:tc>
      </w:tr>
    </w:tbl>
    <w:p w:rsidR="001C5860" w:rsidRPr="000742B2" w:rsidRDefault="00827675" w:rsidP="001C5860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color w:val="FF0000"/>
          <w:sz w:val="20"/>
          <w:szCs w:val="20"/>
          <w:u w:val="single"/>
          <w:vertAlign w:val="superscript"/>
          <w:lang w:val="uk-UA"/>
        </w:rPr>
        <w:t>*</w:t>
      </w:r>
      <w:r w:rsidRPr="000742B2">
        <w:rPr>
          <w:rFonts w:ascii="Tahoma" w:hAnsi="Tahoma" w:cs="Tahoma"/>
          <w:b/>
          <w:sz w:val="20"/>
          <w:szCs w:val="20"/>
          <w:u w:val="single"/>
          <w:vertAlign w:val="superscript"/>
          <w:lang w:val="uk-UA"/>
        </w:rPr>
        <w:t xml:space="preserve"> </w:t>
      </w:r>
      <w:r w:rsidR="001C5860" w:rsidRPr="000742B2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При визначенні вартості послуг</w:t>
      </w:r>
      <w:r w:rsidR="001C5860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 xml:space="preserve">див. пункт 9 розділу «Правила оформлення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>ної пропозиції учасника» Оголошення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C5860" w:rsidRPr="000742B2" w:rsidRDefault="001C5860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68624A" w:rsidRPr="000742B2" w:rsidRDefault="0068624A" w:rsidP="00F74345">
      <w:pPr>
        <w:jc w:val="both"/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</w:pPr>
      <w:r w:rsidRPr="000742B2"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  <w:t>При визначенні переможця перевага також буде надаватися компаніям з найкоротшими термінами виконання робіт.</w:t>
      </w:r>
    </w:p>
    <w:p w:rsidR="002B7EEB" w:rsidRPr="000742B2" w:rsidRDefault="002B7EEB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F356D7" w:rsidP="00AB02CD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lastRenderedPageBreak/>
        <w:t>КОНКУРС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0742B2" w:rsidRDefault="0087454E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CE5B49" w:rsidP="00D501C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Заповнену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форм</w:t>
      </w:r>
      <w:r w:rsidRPr="000742B2">
        <w:rPr>
          <w:rFonts w:ascii="Tahoma" w:hAnsi="Tahoma" w:cs="Tahoma"/>
          <w:sz w:val="20"/>
          <w:szCs w:val="20"/>
          <w:lang w:val="uk-UA"/>
        </w:rPr>
        <w:t>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</w:t>
      </w:r>
      <w:r w:rsidR="001B59A1" w:rsidRPr="000742B2">
        <w:rPr>
          <w:rFonts w:ascii="Tahoma" w:hAnsi="Tahoma" w:cs="Tahoma"/>
          <w:i/>
          <w:sz w:val="20"/>
          <w:szCs w:val="20"/>
          <w:lang w:val="uk-UA"/>
        </w:rPr>
        <w:t>(форма додається)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87454E" w:rsidRPr="000742B2" w:rsidRDefault="0087454E" w:rsidP="0087454E">
      <w:pPr>
        <w:pStyle w:val="af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Рекомендаційний лист/листи.</w:t>
      </w:r>
    </w:p>
    <w:p w:rsidR="001B59A1" w:rsidRPr="000742B2" w:rsidRDefault="001B59A1" w:rsidP="007F3F6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Копі</w:t>
      </w:r>
      <w:r w:rsidR="002B05A1" w:rsidRPr="000742B2">
        <w:rPr>
          <w:rFonts w:ascii="Tahoma" w:hAnsi="Tahoma" w:cs="Tahoma"/>
          <w:sz w:val="20"/>
          <w:szCs w:val="20"/>
          <w:lang w:val="uk-UA"/>
        </w:rPr>
        <w:t>ї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8E2AE5" w:rsidRPr="008E2AE5" w:rsidRDefault="00AE687E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8E2AE5" w:rsidRPr="008E2AE5">
        <w:rPr>
          <w:rFonts w:ascii="Tahoma" w:hAnsi="Tahoma" w:cs="Tahoma"/>
          <w:sz w:val="20"/>
          <w:szCs w:val="20"/>
          <w:lang w:val="uk-UA"/>
        </w:rPr>
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Статуту і витягу з протоколу про призначення керівника (для юридичних осіб)</w:t>
      </w:r>
    </w:p>
    <w:p w:rsidR="00002211" w:rsidRPr="008E2AE5" w:rsidRDefault="008E2AE5" w:rsidP="008E2AE5">
      <w:pPr>
        <w:pStyle w:val="af5"/>
        <w:numPr>
          <w:ilvl w:val="0"/>
          <w:numId w:val="3"/>
        </w:numPr>
        <w:tabs>
          <w:tab w:val="clear" w:pos="2149"/>
        </w:tabs>
        <w:ind w:left="0" w:firstLine="567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довідки з органів статистики.</w:t>
      </w:r>
    </w:p>
    <w:p w:rsidR="00AB02CD" w:rsidRPr="000742B2" w:rsidRDefault="00AB02CD" w:rsidP="00AB02CD">
      <w:pPr>
        <w:pStyle w:val="af0"/>
        <w:autoSpaceDE/>
        <w:spacing w:after="0"/>
        <w:ind w:left="567"/>
        <w:rPr>
          <w:rFonts w:ascii="Tahoma" w:hAnsi="Tahoma" w:cs="Tahoma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0742B2">
        <w:rPr>
          <w:rFonts w:ascii="Tahoma" w:hAnsi="Tahoma" w:cs="Tahoma"/>
          <w:sz w:val="20"/>
          <w:szCs w:val="20"/>
          <w:lang w:val="uk-UA"/>
        </w:rPr>
        <w:t>339-92-39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0742B2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0742B2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70</w:t>
      </w:r>
      <w:r w:rsidR="00F356D7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Заітов</w:t>
      </w:r>
      <w:proofErr w:type="spellEnd"/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Акім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, е-mail: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.</w:t>
      </w:r>
    </w:p>
    <w:p w:rsidR="00CC7379" w:rsidRPr="000742B2" w:rsidRDefault="00CC7379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0742B2">
          <w:rPr>
            <w:rStyle w:val="ac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друкованому вигляді: на адресу ВБО «Всеукраїнська мережа ЛЖВ» вул. </w:t>
      </w:r>
      <w:proofErr w:type="spellStart"/>
      <w:r w:rsidR="001B59A1" w:rsidRPr="000742B2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0742B2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«Конкурс на закупівлю </w:t>
      </w:r>
      <w:r w:rsidR="008E2AE5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комп’ютерної техніки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0742B2" w:rsidRDefault="00DF5CF2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мають бути обов’язково завіреними підписом учасника, а якщо учасником є юридична особа, то печаткою та підписом уповноваженої особи. До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0742B2">
        <w:rPr>
          <w:rFonts w:ascii="Tahoma" w:hAnsi="Tahoma" w:cs="Tahoma"/>
          <w:sz w:val="20"/>
          <w:szCs w:val="20"/>
          <w:lang w:val="uk-UA"/>
        </w:rPr>
        <w:t>ц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ії повинен становити не менше 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з дати підписання договору. Якщо строк не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зазначений, він вваж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атиметься 9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0742B2" w:rsidRDefault="00F356D7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3. Маркування: «НЕ РОЗКРИВАТИ ДО 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25 липня </w:t>
      </w:r>
      <w:r w:rsidRPr="000742B2">
        <w:rPr>
          <w:rFonts w:ascii="Tahoma" w:hAnsi="Tahoma" w:cs="Tahoma"/>
          <w:sz w:val="20"/>
          <w:szCs w:val="20"/>
          <w:lang w:val="uk-UA"/>
        </w:rPr>
        <w:t>2016 року, 1</w:t>
      </w:r>
      <w:r w:rsidR="00BA6100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>:00 год.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0742B2" w:rsidRDefault="00285DE4" w:rsidP="00BE4A8D">
      <w:pPr>
        <w:pStyle w:val="af5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>
        <w:rPr>
          <w:rFonts w:ascii="Tahoma" w:hAnsi="Tahoma" w:cs="Tahoma"/>
          <w:b/>
          <w:sz w:val="20"/>
          <w:szCs w:val="20"/>
          <w:lang w:val="uk-UA"/>
        </w:rPr>
        <w:t xml:space="preserve"> (по лоту1)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0742B2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буде здійснюватися за рахунок грантів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проекту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а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)</w:t>
      </w:r>
      <w:r w:rsidR="004766F0" w:rsidRPr="000742B2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0742B2" w:rsidRDefault="00C454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0742B2" w:rsidRDefault="001B59A1" w:rsidP="001B59A1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lastRenderedPageBreak/>
        <w:t xml:space="preserve"> «</w:t>
      </w:r>
      <w:r w:rsidR="00F356D7">
        <w:rPr>
          <w:rFonts w:ascii="Tahoma" w:hAnsi="Tahoma" w:cs="Tahoma"/>
          <w:sz w:val="20"/>
          <w:szCs w:val="20"/>
          <w:lang w:val="uk-UA"/>
        </w:rPr>
        <w:t>25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F356D7">
        <w:rPr>
          <w:rFonts w:ascii="Tahoma" w:hAnsi="Tahoma" w:cs="Tahoma"/>
          <w:sz w:val="20"/>
          <w:szCs w:val="20"/>
          <w:lang w:val="uk-UA"/>
        </w:rPr>
        <w:t>липня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6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року, до 12:0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0742B2" w:rsidRDefault="0058673D" w:rsidP="001B59A1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8E2AE5">
        <w:rPr>
          <w:rFonts w:ascii="Tahoma" w:hAnsi="Tahoma" w:cs="Tahoma"/>
          <w:sz w:val="20"/>
          <w:szCs w:val="20"/>
          <w:lang w:val="uk-UA"/>
        </w:rPr>
        <w:t>2</w:t>
      </w:r>
      <w:r w:rsidR="00F356D7">
        <w:rPr>
          <w:rFonts w:ascii="Tahoma" w:hAnsi="Tahoma" w:cs="Tahoma"/>
          <w:sz w:val="20"/>
          <w:szCs w:val="20"/>
          <w:lang w:val="uk-UA"/>
        </w:rPr>
        <w:t>5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F356D7">
        <w:rPr>
          <w:rFonts w:ascii="Tahoma" w:hAnsi="Tahoma" w:cs="Tahoma"/>
          <w:sz w:val="20"/>
          <w:szCs w:val="20"/>
          <w:lang w:val="uk-UA"/>
        </w:rPr>
        <w:t>липня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2016 року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, о 1</w:t>
      </w:r>
      <w:r w:rsidR="008E2AE5">
        <w:rPr>
          <w:rFonts w:ascii="Tahoma" w:hAnsi="Tahoma" w:cs="Tahoma"/>
          <w:sz w:val="20"/>
          <w:szCs w:val="20"/>
          <w:lang w:val="uk-UA"/>
        </w:rPr>
        <w:t>3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: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59A1" w:rsidRPr="000742B2">
        <w:rPr>
          <w:rFonts w:ascii="Tahoma" w:hAnsi="Tahoma" w:cs="Tahoma"/>
          <w:color w:val="000000"/>
          <w:sz w:val="20"/>
          <w:szCs w:val="20"/>
          <w:lang w:val="uk-UA"/>
        </w:rPr>
        <w:t xml:space="preserve"> за адресою: 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Україна, 04080, м. Київ,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br/>
        <w:t xml:space="preserve"> </w:t>
      </w:r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, 87-А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0742B2">
          <w:rPr>
            <w:rStyle w:val="ac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0742B2" w:rsidRDefault="0044189D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0742B2" w:rsidRDefault="00AA3AB9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DB5061" w:rsidRPr="000742B2" w:rsidRDefault="00DB506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DB5061" w:rsidRPr="000742B2" w:rsidSect="00BE51E4">
      <w:footerReference w:type="default" r:id="rId12"/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53" w:rsidRDefault="00403253">
      <w:r>
        <w:separator/>
      </w:r>
    </w:p>
  </w:endnote>
  <w:endnote w:type="continuationSeparator" w:id="0">
    <w:p w:rsidR="00403253" w:rsidRDefault="00403253">
      <w:r>
        <w:continuationSeparator/>
      </w:r>
    </w:p>
  </w:endnote>
  <w:endnote w:id="1">
    <w:p w:rsidR="000742B2" w:rsidRPr="00803C57" w:rsidRDefault="000742B2" w:rsidP="000742B2">
      <w:pPr>
        <w:pStyle w:val="af2"/>
        <w:jc w:val="both"/>
        <w:rPr>
          <w:rFonts w:ascii="Tahoma" w:hAnsi="Tahoma" w:cs="Tahoma"/>
          <w:sz w:val="16"/>
          <w:szCs w:val="16"/>
          <w:lang w:val="uk-UA"/>
        </w:rPr>
      </w:pPr>
    </w:p>
  </w:endnote>
  <w:endnote w:id="2">
    <w:p w:rsidR="008E2AE5" w:rsidRPr="00E61511" w:rsidRDefault="008E2AE5" w:rsidP="008E2AE5">
      <w:pPr>
        <w:pStyle w:val="af2"/>
        <w:jc w:val="both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CC0" w:rsidRDefault="00B44CC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C572B">
      <w:rPr>
        <w:noProof/>
      </w:rPr>
      <w:t>3</w:t>
    </w:r>
    <w:r>
      <w:fldChar w:fldCharType="end"/>
    </w:r>
  </w:p>
  <w:p w:rsidR="00B44CC0" w:rsidRDefault="00B44CC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53" w:rsidRDefault="00403253">
      <w:r>
        <w:separator/>
      </w:r>
    </w:p>
  </w:footnote>
  <w:footnote w:type="continuationSeparator" w:id="0">
    <w:p w:rsidR="00403253" w:rsidRDefault="00403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853"/>
    <w:multiLevelType w:val="hybridMultilevel"/>
    <w:tmpl w:val="862CCBAA"/>
    <w:lvl w:ilvl="0" w:tplc="EBB2CD1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7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4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21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9D4785"/>
    <w:multiLevelType w:val="multilevel"/>
    <w:tmpl w:val="8D441412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24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22"/>
  </w:num>
  <w:num w:numId="12">
    <w:abstractNumId w:val="13"/>
  </w:num>
  <w:num w:numId="13">
    <w:abstractNumId w:val="0"/>
  </w:num>
  <w:num w:numId="14">
    <w:abstractNumId w:val="18"/>
  </w:num>
  <w:num w:numId="15">
    <w:abstractNumId w:val="12"/>
  </w:num>
  <w:num w:numId="16">
    <w:abstractNumId w:val="24"/>
  </w:num>
  <w:num w:numId="17">
    <w:abstractNumId w:val="17"/>
  </w:num>
  <w:num w:numId="18">
    <w:abstractNumId w:val="20"/>
  </w:num>
  <w:num w:numId="19">
    <w:abstractNumId w:val="19"/>
  </w:num>
  <w:num w:numId="20">
    <w:abstractNumId w:val="14"/>
  </w:num>
  <w:num w:numId="21">
    <w:abstractNumId w:val="4"/>
  </w:num>
  <w:num w:numId="22">
    <w:abstractNumId w:val="9"/>
  </w:num>
  <w:num w:numId="23">
    <w:abstractNumId w:val="15"/>
  </w:num>
  <w:num w:numId="24">
    <w:abstractNumId w:val="7"/>
  </w:num>
  <w:num w:numId="25">
    <w:abstractNumId w:val="3"/>
  </w:num>
  <w:num w:numId="26">
    <w:abstractNumId w:val="2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BD4"/>
    <w:rsid w:val="00107C16"/>
    <w:rsid w:val="00120505"/>
    <w:rsid w:val="00124DA5"/>
    <w:rsid w:val="00131745"/>
    <w:rsid w:val="00131B8B"/>
    <w:rsid w:val="0013438F"/>
    <w:rsid w:val="00136BB2"/>
    <w:rsid w:val="00143265"/>
    <w:rsid w:val="00146E40"/>
    <w:rsid w:val="00147D55"/>
    <w:rsid w:val="00154A8B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5B2B"/>
    <w:rsid w:val="00250B8A"/>
    <w:rsid w:val="0025239E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48A8"/>
    <w:rsid w:val="006F4B0F"/>
    <w:rsid w:val="006F5682"/>
    <w:rsid w:val="006F670C"/>
    <w:rsid w:val="007001F1"/>
    <w:rsid w:val="00703DC8"/>
    <w:rsid w:val="00705999"/>
    <w:rsid w:val="00711319"/>
    <w:rsid w:val="007126E8"/>
    <w:rsid w:val="0071419A"/>
    <w:rsid w:val="0071438D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6430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C2120"/>
    <w:rsid w:val="009C3D48"/>
    <w:rsid w:val="009C6325"/>
    <w:rsid w:val="009D055E"/>
    <w:rsid w:val="009D351E"/>
    <w:rsid w:val="009D4C5E"/>
    <w:rsid w:val="009F1FAA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60480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BA2"/>
    <w:rsid w:val="00F01260"/>
    <w:rsid w:val="00F047D8"/>
    <w:rsid w:val="00F0614F"/>
    <w:rsid w:val="00F14814"/>
    <w:rsid w:val="00F15ABB"/>
    <w:rsid w:val="00F214CD"/>
    <w:rsid w:val="00F25394"/>
    <w:rsid w:val="00F31154"/>
    <w:rsid w:val="00F356D7"/>
    <w:rsid w:val="00F35BDF"/>
    <w:rsid w:val="00F36664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5D90-0337-4C97-9D55-1032DE59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1399</Words>
  <Characters>9623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11001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Заітов Акім</cp:lastModifiedBy>
  <cp:revision>4</cp:revision>
  <cp:lastPrinted>2015-01-16T08:47:00Z</cp:lastPrinted>
  <dcterms:created xsi:type="dcterms:W3CDTF">2016-07-11T09:35:00Z</dcterms:created>
  <dcterms:modified xsi:type="dcterms:W3CDTF">2016-07-11T10:16:00Z</dcterms:modified>
</cp:coreProperties>
</file>