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81" w:rsidRPr="000742B2" w:rsidRDefault="00F356D7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  <w:r w:rsidRPr="004245EC">
        <w:rPr>
          <w:rFonts w:ascii="Tahoma" w:hAnsi="Tahoma" w:cs="Tahoma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467C0879" wp14:editId="1F5DD5F0">
            <wp:simplePos x="0" y="0"/>
            <wp:positionH relativeFrom="column">
              <wp:posOffset>-14605</wp:posOffset>
            </wp:positionH>
            <wp:positionV relativeFrom="paragraph">
              <wp:posOffset>57150</wp:posOffset>
            </wp:positionV>
            <wp:extent cx="636524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527" y="2145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59A1" w:rsidRPr="000742B2" w:rsidRDefault="001F25D4" w:rsidP="001B59A1">
      <w:pPr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8D4392">
        <w:rPr>
          <w:rFonts w:ascii="Tahoma" w:hAnsi="Tahoma" w:cs="Tahoma"/>
          <w:sz w:val="20"/>
          <w:szCs w:val="20"/>
          <w:lang w:val="uk-UA"/>
        </w:rPr>
        <w:t>22</w:t>
      </w:r>
      <w:r w:rsidR="00D35821" w:rsidRPr="000742B2">
        <w:rPr>
          <w:rFonts w:ascii="Tahoma" w:hAnsi="Tahoma" w:cs="Tahoma"/>
          <w:sz w:val="20"/>
          <w:szCs w:val="20"/>
          <w:lang w:val="uk-UA"/>
        </w:rPr>
        <w:t>»</w:t>
      </w:r>
      <w:r w:rsidR="00F8061A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8D4392">
        <w:rPr>
          <w:rFonts w:ascii="Tahoma" w:hAnsi="Tahoma" w:cs="Tahoma"/>
          <w:sz w:val="20"/>
          <w:szCs w:val="20"/>
          <w:lang w:val="uk-UA"/>
        </w:rPr>
        <w:t>вересня</w:t>
      </w:r>
      <w:r w:rsidR="000742B2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201</w:t>
      </w:r>
      <w:r w:rsidR="00D960FB" w:rsidRPr="000742B2">
        <w:rPr>
          <w:rFonts w:ascii="Tahoma" w:hAnsi="Tahoma" w:cs="Tahoma"/>
          <w:sz w:val="20"/>
          <w:szCs w:val="20"/>
          <w:lang w:val="uk-UA"/>
        </w:rPr>
        <w:t>6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403CAD" w:rsidRPr="000742B2" w:rsidRDefault="00403CAD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</w:p>
    <w:p w:rsidR="001B59A1" w:rsidRPr="000742B2" w:rsidRDefault="001B59A1" w:rsidP="001B59A1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 xml:space="preserve">ОГОЛОШЕННЯ 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>(далі – «Оголошення»)</w:t>
      </w:r>
    </w:p>
    <w:p w:rsidR="001B59A1" w:rsidRPr="000742B2" w:rsidRDefault="001B59A1" w:rsidP="001B59A1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0742B2" w:rsidRDefault="00772B98" w:rsidP="00AE687E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6F6E18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проведення процедури обмежених конкурсних торгів </w:t>
      </w:r>
      <w:bookmarkStart w:id="0" w:name="_GoBack"/>
      <w:bookmarkEnd w:id="0"/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="001B59A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0742B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комп’ютерної техніки. </w:t>
      </w:r>
    </w:p>
    <w:p w:rsidR="00C40EC8" w:rsidRPr="000742B2" w:rsidRDefault="00C40EC8" w:rsidP="00AE687E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7F3F66" w:rsidRPr="000742B2" w:rsidRDefault="00BD0785" w:rsidP="000742B2">
      <w:pPr>
        <w:pStyle w:val="ab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Предмет закупівлі</w:t>
      </w:r>
      <w:r w:rsidR="00691FF3"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:</w:t>
      </w:r>
      <w:r w:rsidR="00691FF3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6"/>
        <w:gridCol w:w="2237"/>
        <w:gridCol w:w="872"/>
        <w:gridCol w:w="6182"/>
      </w:tblGrid>
      <w:tr w:rsidR="000742B2" w:rsidRPr="000742B2" w:rsidTr="00D740A9">
        <w:trPr>
          <w:trHeight w:val="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№ лота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3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42B2" w:rsidRPr="000742B2" w:rsidRDefault="000742B2" w:rsidP="00D740A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Обов‘язкові мінімальні  технічні характеристики до предмету закупівлі</w:t>
            </w:r>
          </w:p>
        </w:tc>
      </w:tr>
      <w:tr w:rsidR="000742B2" w:rsidRPr="006F6E18" w:rsidTr="00772B98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2B2" w:rsidRPr="000742B2" w:rsidRDefault="000742B2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0742B2" w:rsidP="00D740A9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(без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8D4392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2B2" w:rsidRPr="000742B2" w:rsidRDefault="000742B2" w:rsidP="00D740A9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Чіпсет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материнської плати: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Core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i5;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оперативної пам'яті: 8Гб;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Графічний адаптер: Інтегрований,  Дискретний  до 2Гб;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накопичувача: HDD від 500ГБ+SSD120Гб;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Блок живлення: від 500Вт.</w:t>
            </w:r>
          </w:p>
        </w:tc>
      </w:tr>
      <w:tr w:rsidR="00F356D7" w:rsidRPr="006F6E18" w:rsidTr="00772B98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6D7" w:rsidRPr="000742B2" w:rsidRDefault="00F356D7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Системний блок</w:t>
            </w:r>
            <w:r w:rsidR="0094295F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(з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8D4392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6D7" w:rsidRPr="000742B2" w:rsidRDefault="00F356D7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Чіпсет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материнської плати: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 xml:space="preserve">Процесор: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Core</w:t>
            </w:r>
            <w:proofErr w:type="spellEnd"/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i5;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оперативної пам'яті: 8Гб;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Графічний адаптер: Інтегрований,  Дискретний  до 2Гб;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Об'єм накопичувача: HDD від 500ГБ+SSD120Гб;</w:t>
            </w:r>
            <w:r w:rsidRPr="000742B2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br/>
              <w:t>Блок живлення: від 500Вт.</w:t>
            </w:r>
          </w:p>
        </w:tc>
      </w:tr>
      <w:tr w:rsidR="008D4392" w:rsidRPr="006F6E18" w:rsidTr="00772B98">
        <w:trPr>
          <w:trHeight w:val="2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392" w:rsidRPr="000742B2" w:rsidRDefault="008D4392" w:rsidP="00D740A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742B2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92" w:rsidRPr="00411B93" w:rsidRDefault="008D4392" w:rsidP="00967FA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МФУ (з ПДВ)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92" w:rsidRDefault="008D4392" w:rsidP="00772B9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E368F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Технологія друку: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лазерни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й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друк (ч/б);</w:t>
            </w:r>
          </w:p>
          <w:p w:rsidR="008D4392" w:rsidRPr="007A5D44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121730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Функції: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121730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принтер, сканер, копір, факс;</w:t>
            </w:r>
          </w:p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Максимальна роздільна здатність друку: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600x600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dpi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Дуплеск</w:t>
            </w:r>
            <w:proofErr w:type="spellEnd"/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 наявності;</w:t>
            </w:r>
          </w:p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Кількість кольорів: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 (чорний колір);</w:t>
            </w:r>
          </w:p>
          <w:p w:rsidR="008D4392" w:rsidRPr="008F2E46" w:rsidRDefault="008D4392" w:rsidP="00976061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Вбудований факс: 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 наявності;</w:t>
            </w:r>
          </w:p>
          <w:p w:rsidR="008D4392" w:rsidRPr="00C42291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</w:pPr>
            <w:r w:rsidRPr="00C42291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Додаткові функції при скануванні: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сканування у вигляді вкладення в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повідомлення електронної пошти,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сканування на 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FTP</w:t>
            </w:r>
            <w:proofErr w:type="spellStart"/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-сервер</w:t>
            </w:r>
            <w:proofErr w:type="spellEnd"/>
            <w:r w:rsidRPr="00C42291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, сканування в хмарні сервіси, автоматичне двостороннє сканування</w:t>
            </w:r>
            <w:r w:rsidRPr="00C42291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;</w:t>
            </w:r>
          </w:p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Роздільна здатність зображення принтеру/МФУ: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br/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Друк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600 x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;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опіювання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600 x 600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;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ування</w:t>
            </w:r>
            <w:proofErr w:type="spellEnd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: до 1200 x 1200 </w:t>
            </w:r>
            <w:proofErr w:type="spellStart"/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dpi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8F2E46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Формат і щільність паперу: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1: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8D4392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Лоток 2, додатковий лоток 3: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4,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A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6,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), 10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x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15 см, листівки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JIS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), конверти (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DL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C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5,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ISO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B</w:t>
            </w:r>
            <w:r w:rsidRPr="008F2E4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5);</w:t>
            </w:r>
          </w:p>
          <w:p w:rsidR="008D4392" w:rsidRPr="007A5D44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7A5D44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Швидкість друку: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35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стр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/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хв.;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Додатково: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Формат файлу сканування: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з функцією пошуку,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JPG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RTF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TXT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BMP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PNG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TIFF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Максимальний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розмі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  <w:proofErr w:type="gram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(планшет): 216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297 мм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Максимальный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розмі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</w:t>
            </w:r>
            <w:proofErr w:type="spellEnd"/>
            <w:proofErr w:type="gram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області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ADF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): 216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356 мм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Швидкість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сканування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звичайний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режим, формат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A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4):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5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стор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чорно-білому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режимі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стор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кольоровому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lastRenderedPageBreak/>
              <w:t>режимі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Швидкість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копіювання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звичайний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режим):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35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копій</w:t>
            </w:r>
            <w:proofErr w:type="spellEnd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хв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Процесор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1200 МГц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Стандартний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обсяг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пам'яті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256 МБ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Максимальний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обсяг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пам'яті</w:t>
            </w:r>
            <w:proofErr w:type="spellEnd"/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</w:t>
            </w:r>
            <w:r w:rsidRPr="004A11A4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256 МБ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Роздільна здатність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факсу: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від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300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300 </w:t>
            </w:r>
            <w:r w:rsidRPr="00B22AFA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dpi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8D4392" w:rsidRPr="00B22AFA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Швидк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ість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передачі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факсів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: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від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 xml:space="preserve"> 33.6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Кбіт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/</w:t>
            </w:r>
            <w:proofErr w:type="gramStart"/>
            <w:r w:rsidRPr="00B22AFA">
              <w:rPr>
                <w:rFonts w:ascii="Tahoma" w:hAnsi="Tahoma" w:cs="Tahoma"/>
                <w:color w:val="000000"/>
                <w:sz w:val="20"/>
                <w:szCs w:val="20"/>
                <w:lang w:eastAsia="uk-UA"/>
              </w:rPr>
              <w:t>с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8D4392" w:rsidRPr="00841533" w:rsidRDefault="008D4392" w:rsidP="00976061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6D38D6"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 xml:space="preserve">Інтерфейси: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USB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2.0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1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x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мережевий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порт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Fast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Ethernet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10/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100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Base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</w:t>
            </w:r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TX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7A5D44">
              <w:rPr>
                <w:rFonts w:ascii="Tahoma" w:hAnsi="Tahoma" w:cs="Tahoma"/>
                <w:color w:val="000000"/>
                <w:sz w:val="20"/>
                <w:szCs w:val="20"/>
                <w:lang w:val="en-US" w:eastAsia="uk-UA"/>
              </w:rPr>
              <w:t>USB</w:t>
            </w:r>
            <w:proofErr w:type="spellStart"/>
            <w:r w:rsidRPr="006D38D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-хост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;</w:t>
            </w:r>
          </w:p>
        </w:tc>
      </w:tr>
    </w:tbl>
    <w:p w:rsidR="000742B2" w:rsidRDefault="000742B2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356D7" w:rsidRPr="000742B2" w:rsidRDefault="00F356D7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D960FB" w:rsidRPr="000742B2" w:rsidRDefault="00076D81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3. 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Термін надання послуг</w:t>
      </w:r>
      <w:r w:rsidR="00BD0785" w:rsidRPr="000742B2">
        <w:rPr>
          <w:rFonts w:ascii="Tahoma" w:hAnsi="Tahoma" w:cs="Tahoma"/>
          <w:b/>
          <w:bCs/>
          <w:sz w:val="20"/>
          <w:szCs w:val="20"/>
          <w:lang w:val="uk-UA"/>
        </w:rPr>
        <w:t>/виконання робіт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:</w:t>
      </w:r>
      <w:r w:rsidR="00F8061A"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8D4392">
        <w:rPr>
          <w:rFonts w:ascii="Tahoma" w:hAnsi="Tahoma" w:cs="Tahoma"/>
          <w:sz w:val="20"/>
          <w:szCs w:val="20"/>
          <w:lang w:val="uk-UA"/>
        </w:rPr>
        <w:t>жовтень</w:t>
      </w:r>
      <w:r w:rsidR="008D4392" w:rsidRPr="004245EC">
        <w:rPr>
          <w:rFonts w:ascii="Tahoma" w:hAnsi="Tahoma" w:cs="Tahoma"/>
          <w:sz w:val="20"/>
          <w:szCs w:val="20"/>
          <w:lang w:val="uk-UA"/>
        </w:rPr>
        <w:t xml:space="preserve"> - </w:t>
      </w:r>
      <w:r w:rsidR="008D4392">
        <w:rPr>
          <w:rFonts w:ascii="Tahoma" w:hAnsi="Tahoma" w:cs="Tahoma"/>
          <w:sz w:val="20"/>
          <w:szCs w:val="20"/>
          <w:lang w:val="uk-UA"/>
        </w:rPr>
        <w:t>листопад</w:t>
      </w:r>
      <w:r w:rsidR="008D4392" w:rsidRPr="004245EC">
        <w:rPr>
          <w:rFonts w:ascii="Tahoma" w:hAnsi="Tahoma" w:cs="Tahoma"/>
          <w:sz w:val="20"/>
          <w:szCs w:val="20"/>
          <w:lang w:val="uk-UA"/>
        </w:rPr>
        <w:t xml:space="preserve"> 2016 року</w:t>
      </w:r>
      <w:r w:rsidR="000742B2" w:rsidRPr="000742B2">
        <w:rPr>
          <w:rFonts w:ascii="Tahoma" w:hAnsi="Tahoma" w:cs="Tahoma"/>
          <w:sz w:val="21"/>
          <w:szCs w:val="21"/>
          <w:lang w:val="uk-UA"/>
        </w:rPr>
        <w:t>.</w:t>
      </w:r>
    </w:p>
    <w:p w:rsidR="00D960FB" w:rsidRPr="000742B2" w:rsidRDefault="00D960FB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</w:p>
    <w:p w:rsidR="000742B2" w:rsidRDefault="00076D81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 xml:space="preserve">4. </w:t>
      </w:r>
      <w:r w:rsidR="001B59A1" w:rsidRPr="000742B2">
        <w:rPr>
          <w:rFonts w:ascii="Tahoma" w:hAnsi="Tahoma" w:cs="Tahoma"/>
          <w:sz w:val="21"/>
          <w:szCs w:val="21"/>
          <w:lang w:val="uk-UA"/>
        </w:rPr>
        <w:t>Очікуваний результат:</w:t>
      </w:r>
      <w:r w:rsid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укладання угоди на поставку комп’ютерної техніки.</w:t>
      </w:r>
    </w:p>
    <w:p w:rsidR="00D960FB" w:rsidRPr="000742B2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</w:p>
    <w:p w:rsidR="00120505" w:rsidRDefault="00076D81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5. </w:t>
      </w:r>
      <w:r w:rsidR="00D0269D" w:rsidRPr="000742B2">
        <w:rPr>
          <w:rFonts w:ascii="Tahoma" w:hAnsi="Tahoma" w:cs="Tahoma"/>
          <w:b/>
          <w:sz w:val="20"/>
          <w:szCs w:val="20"/>
          <w:lang w:val="uk-UA"/>
        </w:rPr>
        <w:t>Обов’язкові технічні та кваліфікаційні вимоги до предмета закупівлі</w:t>
      </w:r>
      <w:r w:rsidR="00B419F4" w:rsidRPr="000742B2">
        <w:rPr>
          <w:rFonts w:ascii="Tahoma" w:hAnsi="Tahoma" w:cs="Tahoma"/>
          <w:b/>
          <w:sz w:val="20"/>
          <w:szCs w:val="20"/>
          <w:lang w:val="uk-UA"/>
        </w:rPr>
        <w:t>:</w:t>
      </w:r>
    </w:p>
    <w:p w:rsidR="000742B2" w:rsidRDefault="000742B2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3826"/>
      </w:tblGrid>
      <w:tr w:rsidR="000742B2" w:rsidRPr="006F6E18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№ п/</w:t>
            </w:r>
            <w:proofErr w:type="spellStart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Обов’язкові кваліфікаційні та технічні  вимоги до постачальника товарів або виконавця робіт та послуг</w:t>
            </w:r>
            <w:r w:rsidRPr="000742B2">
              <w:rPr>
                <w:rStyle w:val="af4"/>
                <w:rFonts w:ascii="Tahoma" w:eastAsia="Calibri" w:hAnsi="Tahoma" w:cs="Tahoma"/>
                <w:sz w:val="21"/>
                <w:szCs w:val="21"/>
                <w:vertAlign w:val="baseline"/>
                <w:lang w:val="uk-UA"/>
              </w:rPr>
              <w:endnoteReference w:id="1"/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Безготівковий розрахунок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Термін доставки всього товару, що є предметом закупівлі, протягом 5 (п’яти) календарних днів з дати здійснення оплати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Спроможність поставити усі запитувані позиції по лоту в повному та в обсязі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Умови розрахунків: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передоплата у розмірі 50% від вартості товарів;</w:t>
            </w:r>
          </w:p>
          <w:p w:rsidR="00F356D7" w:rsidRPr="000742B2" w:rsidRDefault="00F356D7" w:rsidP="000742B2">
            <w:pPr>
              <w:pStyle w:val="af5"/>
              <w:numPr>
                <w:ilvl w:val="0"/>
                <w:numId w:val="15"/>
              </w:numPr>
              <w:ind w:left="269" w:right="127" w:firstLine="142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 xml:space="preserve"> остаточний розрахунок у розмірі 50% протягом 5 (п’яти) робочих днів з дати підписання акту прийняття-передачі на весь обсяг товару, що є предметом закупівлі.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Гарантія на комплектуючи лоту 1</w:t>
            </w: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-2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не менше 12 місяців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F356D7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EC572B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Гарантія на лот </w:t>
            </w: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3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 не менше 12 місяців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D7" w:rsidRPr="000742B2" w:rsidRDefault="00F356D7" w:rsidP="00967FA5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Конкурсна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Повна відповідність комп’ютерної техніки обов‘язковим мінімальним технічним характеристикам, визначеним Оголошенням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F356D7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Підтвердження поінформованості про те, що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товар (ЛОТ 1)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буд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е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закуповуватись</w:t>
            </w:r>
            <w:proofErr w:type="spellEnd"/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 за рахунок грантів проектів, операції із використання коштів яких звільняються від ПДВ згідно з законодавством (див. пункт 9 розділу «Правила оформлення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ної пропозиції учасника» Оголошення). У зв’язку з чим, учасник 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конкурсу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 погоджується співпрацювати </w:t>
            </w:r>
            <w:r w:rsidR="00F356D7">
              <w:rPr>
                <w:rFonts w:ascii="Tahoma" w:eastAsia="Calibri" w:hAnsi="Tahoma" w:cs="Tahoma"/>
                <w:sz w:val="21"/>
                <w:szCs w:val="21"/>
                <w:lang w:val="uk-UA"/>
              </w:rPr>
              <w:t xml:space="preserve">по поставці товару по ЛОТу1 </w:t>
            </w: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без ПДВ (укладати договори та виставляти рахунки)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F356D7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>
              <w:rPr>
                <w:rFonts w:ascii="Tahoma" w:eastAsia="Calibri" w:hAnsi="Tahoma" w:cs="Tahoma"/>
                <w:sz w:val="21"/>
                <w:szCs w:val="21"/>
                <w:lang w:val="uk-UA"/>
              </w:rPr>
              <w:t>Конкурс</w:t>
            </w:r>
            <w:r w:rsidR="000742B2"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на пропозиція (так/ні)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</w:tr>
      <w:tr w:rsidR="000742B2" w:rsidRPr="000742B2" w:rsidTr="000742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  <w:r w:rsidRPr="000742B2">
              <w:rPr>
                <w:rFonts w:ascii="Tahoma" w:eastAsia="Calibri" w:hAnsi="Tahoma" w:cs="Tahoma"/>
                <w:sz w:val="21"/>
                <w:szCs w:val="21"/>
                <w:lang w:val="uk-UA"/>
              </w:rPr>
              <w:t>Право на здійснення підприємницької діяльності</w:t>
            </w: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  <w:p w:rsidR="000742B2" w:rsidRPr="000742B2" w:rsidRDefault="000742B2" w:rsidP="000742B2">
            <w:pPr>
              <w:autoSpaceDE w:val="0"/>
              <w:autoSpaceDN w:val="0"/>
              <w:adjustRightInd w:val="0"/>
              <w:contextualSpacing/>
              <w:rPr>
                <w:rFonts w:ascii="Tahoma" w:eastAsia="Calibri" w:hAnsi="Tahoma" w:cs="Tahoma"/>
                <w:sz w:val="21"/>
                <w:szCs w:val="21"/>
                <w:lang w:val="uk-UA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 xml:space="preserve">Копія Свідоцтва платника ПДВ (при умові реєстрації платником ПДВ) або Свідоцтва про сплату єдиного податку або </w:t>
            </w: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lastRenderedPageBreak/>
              <w:t>витяги з реєстрів платників ПДВ та платників єдиного податку;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Статуту і витягу з протоколу про призначення керівника (для юридичних осіб)</w:t>
            </w:r>
          </w:p>
          <w:p w:rsidR="000742B2" w:rsidRPr="000742B2" w:rsidRDefault="000742B2" w:rsidP="000742B2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1"/>
                <w:szCs w:val="21"/>
                <w:lang w:val="uk-UA" w:eastAsia="ru-RU"/>
              </w:rPr>
            </w:pPr>
            <w:r w:rsidRPr="000742B2">
              <w:rPr>
                <w:rFonts w:ascii="Tahoma" w:hAnsi="Tahoma" w:cs="Tahoma"/>
                <w:sz w:val="21"/>
                <w:szCs w:val="21"/>
                <w:lang w:val="uk-UA" w:eastAsia="ru-RU"/>
              </w:rPr>
              <w:t>Копія довідки з органів статистики.</w:t>
            </w:r>
          </w:p>
        </w:tc>
      </w:tr>
    </w:tbl>
    <w:p w:rsidR="0056486C" w:rsidRPr="000742B2" w:rsidRDefault="0056486C" w:rsidP="00682751">
      <w:pPr>
        <w:jc w:val="both"/>
        <w:rPr>
          <w:rFonts w:ascii="Calibri" w:hAnsi="Calibri" w:cs="Calibri"/>
          <w:b/>
          <w:color w:val="FF0000"/>
          <w:sz w:val="18"/>
          <w:szCs w:val="18"/>
          <w:lang w:val="uk-UA"/>
        </w:rPr>
      </w:pPr>
    </w:p>
    <w:p w:rsidR="0056486C" w:rsidRPr="000742B2" w:rsidRDefault="00D960FB" w:rsidP="0056486C">
      <w:pPr>
        <w:jc w:val="both"/>
        <w:rPr>
          <w:rFonts w:ascii="Calibri" w:hAnsi="Calibri" w:cs="Calibri"/>
          <w:b/>
          <w:color w:val="FF0000"/>
          <w:sz w:val="20"/>
          <w:szCs w:val="20"/>
          <w:lang w:val="uk-UA"/>
        </w:rPr>
      </w:pP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* До оцінювання згідно критеріям оцінки допускаються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ної пропозиції учасника 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 xml:space="preserve">призводить до автоматичної повної дискваліфікації такої </w:t>
      </w:r>
      <w:r w:rsidR="00F356D7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ної пропозиції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>.</w:t>
      </w:r>
    </w:p>
    <w:p w:rsidR="00D960FB" w:rsidRPr="000742B2" w:rsidRDefault="00D960FB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0742B2" w:rsidRDefault="00827675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6. 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 xml:space="preserve">Критерії оцінки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>них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58"/>
        <w:gridCol w:w="1583"/>
        <w:gridCol w:w="3793"/>
      </w:tblGrid>
      <w:tr w:rsidR="008E2AE5" w:rsidRPr="004245EC" w:rsidTr="00D740A9"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Критерій оцінки</w:t>
            </w:r>
            <w:r w:rsidRPr="004245EC">
              <w:rPr>
                <w:rStyle w:val="af4"/>
                <w:rFonts w:ascii="Tahoma" w:hAnsi="Tahoma" w:cs="Tahoma"/>
                <w:sz w:val="20"/>
                <w:szCs w:val="20"/>
                <w:lang w:val="uk-UA"/>
              </w:rPr>
              <w:endnoteReference w:id="2"/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0" w:type="auto"/>
            <w:shd w:val="pct15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8E2AE5" w:rsidRPr="004245EC" w:rsidTr="00D740A9">
        <w:trPr>
          <w:trHeight w:val="427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Вартість (грн./без ПДВ)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90 %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8E2AE5" w:rsidRPr="004245EC" w:rsidRDefault="00F356D7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="008E2AE5"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на пропозиція </w:t>
            </w:r>
          </w:p>
        </w:tc>
      </w:tr>
      <w:tr w:rsidR="008E2AE5" w:rsidRPr="004245EC" w:rsidTr="00D740A9">
        <w:trPr>
          <w:trHeight w:val="427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Технічні характеристики комп’ютерної техніки перевищують обов’язкові мінімальні технічні вимоги до предмету закупівлі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8E2AE5" w:rsidRPr="004245EC" w:rsidRDefault="00F356D7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Конкурс</w:t>
            </w:r>
            <w:r w:rsidR="008E2AE5" w:rsidRPr="004245EC">
              <w:rPr>
                <w:rFonts w:ascii="Tahoma" w:hAnsi="Tahoma" w:cs="Tahoma"/>
                <w:sz w:val="20"/>
                <w:szCs w:val="20"/>
                <w:lang w:val="uk-UA"/>
              </w:rPr>
              <w:t>на пропозиція</w:t>
            </w:r>
          </w:p>
        </w:tc>
      </w:tr>
      <w:tr w:rsidR="008E2AE5" w:rsidRPr="004245EC" w:rsidTr="00D740A9">
        <w:trPr>
          <w:trHeight w:val="675"/>
        </w:trPr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Досвід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праці компанії на ринку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5 %</w:t>
            </w:r>
          </w:p>
        </w:tc>
        <w:tc>
          <w:tcPr>
            <w:tcW w:w="0" w:type="auto"/>
          </w:tcPr>
          <w:p w:rsidR="008E2AE5" w:rsidRPr="004245EC" w:rsidRDefault="008E2AE5" w:rsidP="00D740A9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Рекомендовані листи за останній рік, довідка про досвід роботи з контактними даними контрагентів.</w:t>
            </w:r>
          </w:p>
        </w:tc>
      </w:tr>
    </w:tbl>
    <w:p w:rsidR="001C5860" w:rsidRPr="000742B2" w:rsidRDefault="00827675" w:rsidP="001C5860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color w:val="FF0000"/>
          <w:sz w:val="20"/>
          <w:szCs w:val="20"/>
          <w:u w:val="single"/>
          <w:vertAlign w:val="superscript"/>
          <w:lang w:val="uk-UA"/>
        </w:rPr>
        <w:t>*</w:t>
      </w:r>
      <w:r w:rsidRPr="000742B2">
        <w:rPr>
          <w:rFonts w:ascii="Tahoma" w:hAnsi="Tahoma" w:cs="Tahoma"/>
          <w:b/>
          <w:sz w:val="20"/>
          <w:szCs w:val="20"/>
          <w:u w:val="single"/>
          <w:vertAlign w:val="superscript"/>
          <w:lang w:val="uk-UA"/>
        </w:rPr>
        <w:t xml:space="preserve"> </w:t>
      </w:r>
      <w:r w:rsidR="001C5860" w:rsidRPr="000742B2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При визначенні вартості послуг</w:t>
      </w:r>
      <w:r w:rsidR="001C5860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 xml:space="preserve">див. пункт 9 розділу «Правила оформлення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>ної пропозиції учасника» Оголошення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C5860" w:rsidRPr="000742B2" w:rsidRDefault="001C5860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68624A" w:rsidRPr="000742B2" w:rsidRDefault="0068624A" w:rsidP="00F74345">
      <w:pPr>
        <w:jc w:val="both"/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</w:pPr>
      <w:r w:rsidRPr="000742B2"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  <w:t>При визначенні переможця перевага також буде надаватися компаніям з найкоротшими термінами виконання робіт.</w:t>
      </w:r>
    </w:p>
    <w:p w:rsidR="002B7EEB" w:rsidRPr="000742B2" w:rsidRDefault="002B7EEB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F356D7" w:rsidP="00AB02CD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0742B2" w:rsidRDefault="0087454E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CE5B49" w:rsidP="00D501C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Заповнену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форм</w:t>
      </w:r>
      <w:r w:rsidRPr="000742B2">
        <w:rPr>
          <w:rFonts w:ascii="Tahoma" w:hAnsi="Tahoma" w:cs="Tahoma"/>
          <w:sz w:val="20"/>
          <w:szCs w:val="20"/>
          <w:lang w:val="uk-UA"/>
        </w:rPr>
        <w:t>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</w:t>
      </w:r>
      <w:r w:rsidR="001B59A1" w:rsidRPr="000742B2">
        <w:rPr>
          <w:rFonts w:ascii="Tahoma" w:hAnsi="Tahoma" w:cs="Tahoma"/>
          <w:i/>
          <w:sz w:val="20"/>
          <w:szCs w:val="20"/>
          <w:lang w:val="uk-UA"/>
        </w:rPr>
        <w:t>(форма додається)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87454E" w:rsidRPr="000742B2" w:rsidRDefault="0087454E" w:rsidP="0087454E">
      <w:pPr>
        <w:pStyle w:val="af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Рекомендаційний лист/листи.</w:t>
      </w:r>
    </w:p>
    <w:p w:rsidR="001B59A1" w:rsidRPr="000742B2" w:rsidRDefault="001B59A1" w:rsidP="007F3F6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Копі</w:t>
      </w:r>
      <w:r w:rsidR="002B05A1" w:rsidRPr="000742B2">
        <w:rPr>
          <w:rFonts w:ascii="Tahoma" w:hAnsi="Tahoma" w:cs="Tahoma"/>
          <w:sz w:val="20"/>
          <w:szCs w:val="20"/>
          <w:lang w:val="uk-UA"/>
        </w:rPr>
        <w:t>ї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8E2AE5" w:rsidRPr="008E2AE5" w:rsidRDefault="00AE687E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8E2AE5" w:rsidRPr="008E2AE5">
        <w:rPr>
          <w:rFonts w:ascii="Tahoma" w:hAnsi="Tahoma" w:cs="Tahoma"/>
          <w:sz w:val="20"/>
          <w:szCs w:val="20"/>
          <w:lang w:val="uk-UA"/>
        </w:rPr>
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Свідоцтва платника ПДВ (при умові реєстрації платником ПДВ) або Свідоцтва про сплату єдиного податку або витяги з реєстрів платників ПДВ та платників єдиного податку;</w:t>
      </w:r>
    </w:p>
    <w:p w:rsidR="008E2AE5" w:rsidRPr="008E2AE5" w:rsidRDefault="008E2AE5" w:rsidP="008E2AE5">
      <w:pPr>
        <w:pStyle w:val="af5"/>
        <w:numPr>
          <w:ilvl w:val="0"/>
          <w:numId w:val="27"/>
        </w:numPr>
        <w:ind w:left="127" w:right="126" w:firstLine="283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Статуту і витягу з протоколу про призначення керівника (для юридичних осіб)</w:t>
      </w:r>
    </w:p>
    <w:p w:rsidR="00002211" w:rsidRPr="008E2AE5" w:rsidRDefault="008E2AE5" w:rsidP="008E2AE5">
      <w:pPr>
        <w:pStyle w:val="af5"/>
        <w:numPr>
          <w:ilvl w:val="0"/>
          <w:numId w:val="3"/>
        </w:numPr>
        <w:tabs>
          <w:tab w:val="clear" w:pos="2149"/>
        </w:tabs>
        <w:ind w:left="0" w:firstLine="567"/>
        <w:jc w:val="both"/>
        <w:rPr>
          <w:rFonts w:ascii="Tahoma" w:hAnsi="Tahoma" w:cs="Tahoma"/>
          <w:sz w:val="20"/>
          <w:szCs w:val="20"/>
          <w:lang w:val="uk-UA"/>
        </w:rPr>
      </w:pPr>
      <w:r w:rsidRPr="008E2AE5">
        <w:rPr>
          <w:rFonts w:ascii="Tahoma" w:hAnsi="Tahoma" w:cs="Tahoma"/>
          <w:sz w:val="20"/>
          <w:szCs w:val="20"/>
          <w:lang w:val="uk-UA"/>
        </w:rPr>
        <w:t>Копія довідки з органів статистики.</w:t>
      </w:r>
    </w:p>
    <w:p w:rsidR="00AB02CD" w:rsidRPr="000742B2" w:rsidRDefault="00AB02CD" w:rsidP="00AB02CD">
      <w:pPr>
        <w:pStyle w:val="af0"/>
        <w:autoSpaceDE/>
        <w:spacing w:after="0"/>
        <w:ind w:left="567"/>
        <w:rPr>
          <w:rFonts w:ascii="Tahoma" w:hAnsi="Tahoma" w:cs="Tahoma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0742B2">
        <w:rPr>
          <w:rFonts w:ascii="Tahoma" w:hAnsi="Tahoma" w:cs="Tahoma"/>
          <w:sz w:val="20"/>
          <w:szCs w:val="20"/>
          <w:lang w:val="uk-UA"/>
        </w:rPr>
        <w:t>339-92-39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0742B2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0742B2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70</w:t>
      </w:r>
      <w:r w:rsidR="00F356D7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Заітов</w:t>
      </w:r>
      <w:proofErr w:type="spellEnd"/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proofErr w:type="spellStart"/>
      <w:r w:rsidR="0058673D" w:rsidRPr="000742B2">
        <w:rPr>
          <w:rFonts w:ascii="Tahoma" w:hAnsi="Tahoma" w:cs="Tahoma"/>
          <w:sz w:val="20"/>
          <w:szCs w:val="20"/>
          <w:lang w:val="uk-UA"/>
        </w:rPr>
        <w:t>Акім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, е-mail: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Style w:val="ac"/>
          <w:rFonts w:ascii="Tahoma" w:hAnsi="Tahoma" w:cs="Tahoma"/>
          <w:sz w:val="20"/>
          <w:szCs w:val="20"/>
          <w:lang w:val="uk-UA"/>
        </w:rPr>
        <w:t>.</w:t>
      </w:r>
    </w:p>
    <w:p w:rsidR="00CC7379" w:rsidRPr="000742B2" w:rsidRDefault="00CC7379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a.zaitov</w:t>
      </w:r>
      <w:proofErr w:type="spellEnd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58673D" w:rsidRPr="000742B2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0742B2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0742B2">
          <w:rPr>
            <w:rStyle w:val="ac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друкованому вигляді: на адресу ВБО «Всеукраїнська мережа ЛЖВ» вул. </w:t>
      </w:r>
      <w:proofErr w:type="spellStart"/>
      <w:r w:rsidR="001B59A1" w:rsidRPr="000742B2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0742B2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«Конкурс на закупівлю </w:t>
      </w:r>
      <w:r w:rsidR="008E2AE5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комп’ютерної техніки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0742B2" w:rsidRDefault="00DF5CF2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мають бути обов’язково завіреними підписом учасника, а якщо учасником є юридична особа, то печаткою та підписом уповноваженої особи. До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</w:t>
      </w:r>
      <w:r w:rsidRPr="000742B2">
        <w:rPr>
          <w:rFonts w:ascii="Tahoma" w:hAnsi="Tahoma" w:cs="Tahoma"/>
          <w:sz w:val="20"/>
          <w:szCs w:val="20"/>
          <w:lang w:val="uk-UA"/>
        </w:rPr>
        <w:lastRenderedPageBreak/>
        <w:t xml:space="preserve">такої уповноваженої особи підписувати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0742B2">
        <w:rPr>
          <w:rFonts w:ascii="Tahoma" w:hAnsi="Tahoma" w:cs="Tahoma"/>
          <w:sz w:val="20"/>
          <w:szCs w:val="20"/>
          <w:lang w:val="uk-UA"/>
        </w:rPr>
        <w:t>ц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ії повинен становити не менше 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з дати підписання договору. Якщо строк не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зазначений, він вваж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атиметься 9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0742B2" w:rsidRDefault="00F356D7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3. Маркування: «НЕ РОЗКРИВАТИ ДО </w:t>
      </w:r>
      <w:r w:rsidR="008D4392">
        <w:rPr>
          <w:rFonts w:ascii="Tahoma" w:hAnsi="Tahoma" w:cs="Tahoma"/>
          <w:sz w:val="20"/>
          <w:szCs w:val="20"/>
          <w:lang w:val="uk-UA"/>
        </w:rPr>
        <w:t>06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 </w:t>
      </w:r>
      <w:r w:rsidR="008D4392">
        <w:rPr>
          <w:rFonts w:ascii="Tahoma" w:hAnsi="Tahoma" w:cs="Tahoma"/>
          <w:sz w:val="20"/>
          <w:szCs w:val="20"/>
          <w:lang w:val="uk-UA"/>
        </w:rPr>
        <w:t>жовтня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>2016 року, 1</w:t>
      </w:r>
      <w:r w:rsidR="00BA6100">
        <w:rPr>
          <w:rFonts w:ascii="Tahoma" w:hAnsi="Tahoma" w:cs="Tahoma"/>
          <w:sz w:val="20"/>
          <w:szCs w:val="20"/>
          <w:lang w:val="uk-UA"/>
        </w:rPr>
        <w:t>3</w:t>
      </w:r>
      <w:r w:rsidRPr="000742B2">
        <w:rPr>
          <w:rFonts w:ascii="Tahoma" w:hAnsi="Tahoma" w:cs="Tahoma"/>
          <w:sz w:val="20"/>
          <w:szCs w:val="20"/>
          <w:lang w:val="uk-UA"/>
        </w:rPr>
        <w:t>:00 год.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0742B2" w:rsidRDefault="00285DE4" w:rsidP="00BE4A8D">
      <w:pPr>
        <w:pStyle w:val="af5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>
        <w:rPr>
          <w:rFonts w:ascii="Tahoma" w:hAnsi="Tahoma" w:cs="Tahoma"/>
          <w:b/>
          <w:sz w:val="20"/>
          <w:szCs w:val="20"/>
          <w:lang w:val="uk-UA"/>
        </w:rPr>
        <w:t xml:space="preserve"> (по лоту1)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0742B2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буде здійснюватися за рахунок грантів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проекту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а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)</w:t>
      </w:r>
      <w:r w:rsidR="004766F0" w:rsidRPr="000742B2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0742B2" w:rsidRDefault="00C454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0742B2" w:rsidRDefault="001B59A1" w:rsidP="001B59A1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«</w:t>
      </w:r>
      <w:r w:rsidR="008D4392">
        <w:rPr>
          <w:rFonts w:ascii="Tahoma" w:hAnsi="Tahoma" w:cs="Tahoma"/>
          <w:sz w:val="20"/>
          <w:szCs w:val="20"/>
          <w:lang w:val="uk-UA"/>
        </w:rPr>
        <w:t>06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8D4392">
        <w:rPr>
          <w:rFonts w:ascii="Tahoma" w:hAnsi="Tahoma" w:cs="Tahoma"/>
          <w:sz w:val="20"/>
          <w:szCs w:val="20"/>
          <w:lang w:val="uk-UA"/>
        </w:rPr>
        <w:t>жовтня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6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року, до 12:0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0742B2" w:rsidRDefault="0058673D" w:rsidP="001B59A1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8D4392">
        <w:rPr>
          <w:rFonts w:ascii="Tahoma" w:hAnsi="Tahoma" w:cs="Tahoma"/>
          <w:sz w:val="20"/>
          <w:szCs w:val="20"/>
          <w:lang w:val="uk-UA"/>
        </w:rPr>
        <w:t>06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8D4392">
        <w:rPr>
          <w:rFonts w:ascii="Tahoma" w:hAnsi="Tahoma" w:cs="Tahoma"/>
          <w:sz w:val="20"/>
          <w:szCs w:val="20"/>
          <w:lang w:val="uk-UA"/>
        </w:rPr>
        <w:t>жовтня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2016 року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, о 1</w:t>
      </w:r>
      <w:r w:rsidR="008E2AE5">
        <w:rPr>
          <w:rFonts w:ascii="Tahoma" w:hAnsi="Tahoma" w:cs="Tahoma"/>
          <w:sz w:val="20"/>
          <w:szCs w:val="20"/>
          <w:lang w:val="uk-UA"/>
        </w:rPr>
        <w:t>3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: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59A1" w:rsidRPr="000742B2">
        <w:rPr>
          <w:rFonts w:ascii="Tahoma" w:hAnsi="Tahoma" w:cs="Tahoma"/>
          <w:color w:val="000000"/>
          <w:sz w:val="20"/>
          <w:szCs w:val="20"/>
          <w:lang w:val="uk-UA"/>
        </w:rPr>
        <w:t xml:space="preserve"> за адресою: 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Україна, 04080, м. Київ,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br/>
        <w:t xml:space="preserve"> </w:t>
      </w:r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, 87-А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0742B2">
          <w:rPr>
            <w:rStyle w:val="ac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0742B2" w:rsidRDefault="0044189D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lastRenderedPageBreak/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0742B2" w:rsidRDefault="00AA3AB9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DB5061" w:rsidRPr="000742B2" w:rsidRDefault="00DB506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DB5061" w:rsidRPr="000742B2" w:rsidSect="00BE51E4">
      <w:footerReference w:type="default" r:id="rId12"/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53" w:rsidRDefault="00403253">
      <w:r>
        <w:separator/>
      </w:r>
    </w:p>
  </w:endnote>
  <w:endnote w:type="continuationSeparator" w:id="0">
    <w:p w:rsidR="00403253" w:rsidRDefault="00403253">
      <w:r>
        <w:continuationSeparator/>
      </w:r>
    </w:p>
  </w:endnote>
  <w:endnote w:id="1">
    <w:p w:rsidR="000742B2" w:rsidRPr="00803C57" w:rsidRDefault="000742B2" w:rsidP="000742B2">
      <w:pPr>
        <w:pStyle w:val="af2"/>
        <w:jc w:val="both"/>
        <w:rPr>
          <w:rFonts w:ascii="Tahoma" w:hAnsi="Tahoma" w:cs="Tahoma"/>
          <w:sz w:val="16"/>
          <w:szCs w:val="16"/>
          <w:lang w:val="uk-UA"/>
        </w:rPr>
      </w:pPr>
    </w:p>
  </w:endnote>
  <w:endnote w:id="2">
    <w:p w:rsidR="008E2AE5" w:rsidRPr="00E61511" w:rsidRDefault="008E2AE5" w:rsidP="008E2AE5">
      <w:pPr>
        <w:pStyle w:val="af2"/>
        <w:jc w:val="both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CC0" w:rsidRDefault="00B44CC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6F6E18">
      <w:rPr>
        <w:noProof/>
      </w:rPr>
      <w:t>1</w:t>
    </w:r>
    <w:r>
      <w:fldChar w:fldCharType="end"/>
    </w:r>
  </w:p>
  <w:p w:rsidR="00B44CC0" w:rsidRDefault="00B44CC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53" w:rsidRDefault="00403253">
      <w:r>
        <w:separator/>
      </w:r>
    </w:p>
  </w:footnote>
  <w:footnote w:type="continuationSeparator" w:id="0">
    <w:p w:rsidR="00403253" w:rsidRDefault="00403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853"/>
    <w:multiLevelType w:val="hybridMultilevel"/>
    <w:tmpl w:val="862CCBAA"/>
    <w:lvl w:ilvl="0" w:tplc="EBB2CD1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7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4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21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9D4785"/>
    <w:multiLevelType w:val="multilevel"/>
    <w:tmpl w:val="8D441412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24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22"/>
  </w:num>
  <w:num w:numId="12">
    <w:abstractNumId w:val="13"/>
  </w:num>
  <w:num w:numId="13">
    <w:abstractNumId w:val="0"/>
  </w:num>
  <w:num w:numId="14">
    <w:abstractNumId w:val="18"/>
  </w:num>
  <w:num w:numId="15">
    <w:abstractNumId w:val="12"/>
  </w:num>
  <w:num w:numId="16">
    <w:abstractNumId w:val="24"/>
  </w:num>
  <w:num w:numId="17">
    <w:abstractNumId w:val="17"/>
  </w:num>
  <w:num w:numId="18">
    <w:abstractNumId w:val="20"/>
  </w:num>
  <w:num w:numId="19">
    <w:abstractNumId w:val="19"/>
  </w:num>
  <w:num w:numId="20">
    <w:abstractNumId w:val="14"/>
  </w:num>
  <w:num w:numId="21">
    <w:abstractNumId w:val="4"/>
  </w:num>
  <w:num w:numId="22">
    <w:abstractNumId w:val="9"/>
  </w:num>
  <w:num w:numId="23">
    <w:abstractNumId w:val="15"/>
  </w:num>
  <w:num w:numId="24">
    <w:abstractNumId w:val="7"/>
  </w:num>
  <w:num w:numId="25">
    <w:abstractNumId w:val="3"/>
  </w:num>
  <w:num w:numId="26">
    <w:abstractNumId w:val="2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BD4"/>
    <w:rsid w:val="00107C16"/>
    <w:rsid w:val="00120505"/>
    <w:rsid w:val="00124DA5"/>
    <w:rsid w:val="00131745"/>
    <w:rsid w:val="00131B8B"/>
    <w:rsid w:val="0013438F"/>
    <w:rsid w:val="00136BB2"/>
    <w:rsid w:val="00143265"/>
    <w:rsid w:val="00146E40"/>
    <w:rsid w:val="00147D55"/>
    <w:rsid w:val="00154A8B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5B2B"/>
    <w:rsid w:val="00250B8A"/>
    <w:rsid w:val="0025239E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C2120"/>
    <w:rsid w:val="009C3D48"/>
    <w:rsid w:val="009C6325"/>
    <w:rsid w:val="009D055E"/>
    <w:rsid w:val="009D351E"/>
    <w:rsid w:val="009D4C5E"/>
    <w:rsid w:val="009F1FAA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60480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BA2"/>
    <w:rsid w:val="00F01260"/>
    <w:rsid w:val="00F047D8"/>
    <w:rsid w:val="00F0614F"/>
    <w:rsid w:val="00F14814"/>
    <w:rsid w:val="00F15ABB"/>
    <w:rsid w:val="00F214CD"/>
    <w:rsid w:val="00F25394"/>
    <w:rsid w:val="00F31154"/>
    <w:rsid w:val="00F356D7"/>
    <w:rsid w:val="00F35BDF"/>
    <w:rsid w:val="00F36664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D8A24-CBA1-48F0-B985-925053AC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1617</Words>
  <Characters>10794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12387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Заітов Акім</cp:lastModifiedBy>
  <cp:revision>4</cp:revision>
  <cp:lastPrinted>2015-01-16T08:47:00Z</cp:lastPrinted>
  <dcterms:created xsi:type="dcterms:W3CDTF">2016-09-22T13:09:00Z</dcterms:created>
  <dcterms:modified xsi:type="dcterms:W3CDTF">2016-09-22T13:12:00Z</dcterms:modified>
</cp:coreProperties>
</file>